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A5F4C" w:rsidRPr="00100ED1" w:rsidRDefault="009A5F4C" w:rsidP="00CC089D">
      <w:pPr>
        <w:jc w:val="center"/>
        <w:rPr>
          <w:b/>
          <w:sz w:val="22"/>
          <w:szCs w:val="22"/>
        </w:rPr>
      </w:pPr>
      <w:bookmarkStart w:id="0" w:name="_GoBack"/>
      <w:bookmarkEnd w:id="0"/>
      <w:r w:rsidRPr="00100ED1">
        <w:rPr>
          <w:b/>
          <w:sz w:val="22"/>
          <w:szCs w:val="22"/>
        </w:rPr>
        <w:t>Tennessee Gas Pipeline Company</w:t>
      </w:r>
      <w:r w:rsidR="00165D8C">
        <w:rPr>
          <w:b/>
          <w:sz w:val="22"/>
          <w:szCs w:val="22"/>
        </w:rPr>
        <w:t>, L.L.C.</w:t>
      </w:r>
      <w:r w:rsidR="00590189" w:rsidRPr="00100ED1">
        <w:rPr>
          <w:b/>
          <w:sz w:val="22"/>
          <w:szCs w:val="22"/>
        </w:rPr>
        <w:t xml:space="preserve"> (“Tennessee”)</w:t>
      </w:r>
    </w:p>
    <w:p w:rsidR="00CC089D" w:rsidRPr="00100ED1" w:rsidRDefault="001F7898" w:rsidP="00CC089D">
      <w:pPr>
        <w:jc w:val="center"/>
        <w:rPr>
          <w:b/>
          <w:sz w:val="22"/>
          <w:szCs w:val="22"/>
        </w:rPr>
      </w:pPr>
      <w:proofErr w:type="gramStart"/>
      <w:r w:rsidRPr="00100ED1">
        <w:rPr>
          <w:b/>
          <w:sz w:val="22"/>
          <w:szCs w:val="22"/>
        </w:rPr>
        <w:t xml:space="preserve">Northeast </w:t>
      </w:r>
      <w:r w:rsidR="00657D5F">
        <w:rPr>
          <w:b/>
          <w:sz w:val="22"/>
          <w:szCs w:val="22"/>
        </w:rPr>
        <w:t xml:space="preserve">Energy Direct </w:t>
      </w:r>
      <w:r w:rsidR="0019051B" w:rsidRPr="00100ED1">
        <w:rPr>
          <w:b/>
          <w:sz w:val="22"/>
          <w:szCs w:val="22"/>
        </w:rPr>
        <w:t>(“</w:t>
      </w:r>
      <w:r w:rsidR="006470B0">
        <w:rPr>
          <w:b/>
          <w:sz w:val="22"/>
          <w:szCs w:val="22"/>
        </w:rPr>
        <w:t>NED</w:t>
      </w:r>
      <w:r w:rsidR="00592906">
        <w:rPr>
          <w:b/>
          <w:sz w:val="22"/>
          <w:szCs w:val="22"/>
        </w:rPr>
        <w:t>”)</w:t>
      </w:r>
      <w:r w:rsidR="006470B0">
        <w:rPr>
          <w:b/>
          <w:sz w:val="22"/>
          <w:szCs w:val="22"/>
        </w:rPr>
        <w:t xml:space="preserve"> </w:t>
      </w:r>
      <w:r w:rsidR="0019051B" w:rsidRPr="00100ED1">
        <w:rPr>
          <w:b/>
          <w:sz w:val="22"/>
          <w:szCs w:val="22"/>
        </w:rPr>
        <w:t>Project</w:t>
      </w:r>
      <w:r w:rsidR="009A5F4C" w:rsidRPr="00100ED1">
        <w:rPr>
          <w:b/>
          <w:sz w:val="22"/>
          <w:szCs w:val="22"/>
        </w:rPr>
        <w:t>, Docket No.</w:t>
      </w:r>
      <w:proofErr w:type="gramEnd"/>
      <w:r w:rsidR="009A5F4C" w:rsidRPr="00100ED1">
        <w:rPr>
          <w:b/>
          <w:sz w:val="22"/>
          <w:szCs w:val="22"/>
        </w:rPr>
        <w:t xml:space="preserve"> </w:t>
      </w:r>
      <w:r w:rsidRPr="00100ED1">
        <w:rPr>
          <w:b/>
          <w:sz w:val="22"/>
          <w:szCs w:val="22"/>
        </w:rPr>
        <w:t>PF1</w:t>
      </w:r>
      <w:r w:rsidR="00657D5F">
        <w:rPr>
          <w:b/>
          <w:sz w:val="22"/>
          <w:szCs w:val="22"/>
        </w:rPr>
        <w:t>4</w:t>
      </w:r>
      <w:r w:rsidRPr="00100ED1">
        <w:rPr>
          <w:b/>
          <w:sz w:val="22"/>
          <w:szCs w:val="22"/>
        </w:rPr>
        <w:t>-2</w:t>
      </w:r>
      <w:r w:rsidR="00657D5F">
        <w:rPr>
          <w:b/>
          <w:sz w:val="22"/>
          <w:szCs w:val="22"/>
        </w:rPr>
        <w:t>2</w:t>
      </w:r>
      <w:r w:rsidRPr="00100ED1">
        <w:rPr>
          <w:b/>
          <w:sz w:val="22"/>
          <w:szCs w:val="22"/>
        </w:rPr>
        <w:t>-000</w:t>
      </w:r>
    </w:p>
    <w:p w:rsidR="009A5F4C" w:rsidRPr="00100ED1" w:rsidRDefault="009A5F4C" w:rsidP="00CC089D">
      <w:pPr>
        <w:jc w:val="center"/>
        <w:rPr>
          <w:b/>
          <w:sz w:val="22"/>
          <w:szCs w:val="22"/>
        </w:rPr>
      </w:pPr>
    </w:p>
    <w:p w:rsidR="00CC089D" w:rsidRPr="00100ED1" w:rsidRDefault="00CC089D" w:rsidP="00CC089D">
      <w:pPr>
        <w:jc w:val="center"/>
        <w:rPr>
          <w:b/>
          <w:sz w:val="22"/>
          <w:szCs w:val="22"/>
        </w:rPr>
      </w:pPr>
      <w:r w:rsidRPr="00100ED1">
        <w:rPr>
          <w:b/>
          <w:sz w:val="22"/>
          <w:szCs w:val="22"/>
        </w:rPr>
        <w:t>Pre-Filing Monthly Activity Report</w:t>
      </w:r>
    </w:p>
    <w:p w:rsidR="009A5F4C" w:rsidRPr="00100ED1" w:rsidRDefault="009A5F4C" w:rsidP="00CC089D">
      <w:pPr>
        <w:jc w:val="center"/>
        <w:rPr>
          <w:sz w:val="22"/>
          <w:szCs w:val="22"/>
        </w:rPr>
      </w:pPr>
      <w:r w:rsidRPr="00100ED1">
        <w:rPr>
          <w:b/>
          <w:sz w:val="22"/>
          <w:szCs w:val="22"/>
        </w:rPr>
        <w:t>(</w:t>
      </w:r>
      <w:r w:rsidR="009028F0">
        <w:rPr>
          <w:b/>
          <w:sz w:val="22"/>
          <w:szCs w:val="22"/>
        </w:rPr>
        <w:t xml:space="preserve">Reporting Period: </w:t>
      </w:r>
      <w:r w:rsidR="00A13E63">
        <w:rPr>
          <w:b/>
          <w:sz w:val="22"/>
          <w:szCs w:val="22"/>
        </w:rPr>
        <w:t>June</w:t>
      </w:r>
      <w:r w:rsidR="006470B0">
        <w:rPr>
          <w:b/>
          <w:sz w:val="22"/>
          <w:szCs w:val="22"/>
        </w:rPr>
        <w:t xml:space="preserve"> 1, 201</w:t>
      </w:r>
      <w:r w:rsidR="00705D0C">
        <w:rPr>
          <w:b/>
          <w:sz w:val="22"/>
          <w:szCs w:val="22"/>
        </w:rPr>
        <w:t>5</w:t>
      </w:r>
      <w:r w:rsidR="006470B0">
        <w:rPr>
          <w:b/>
          <w:sz w:val="22"/>
          <w:szCs w:val="22"/>
        </w:rPr>
        <w:t xml:space="preserve"> </w:t>
      </w:r>
      <w:r w:rsidR="00592906">
        <w:rPr>
          <w:b/>
          <w:sz w:val="22"/>
          <w:szCs w:val="22"/>
        </w:rPr>
        <w:t>through</w:t>
      </w:r>
      <w:r w:rsidR="006470B0">
        <w:rPr>
          <w:b/>
          <w:sz w:val="22"/>
          <w:szCs w:val="22"/>
        </w:rPr>
        <w:t xml:space="preserve"> </w:t>
      </w:r>
      <w:r w:rsidR="00A13E63">
        <w:rPr>
          <w:b/>
          <w:sz w:val="22"/>
          <w:szCs w:val="22"/>
        </w:rPr>
        <w:t>June</w:t>
      </w:r>
      <w:r w:rsidR="006470B0">
        <w:rPr>
          <w:b/>
          <w:sz w:val="22"/>
          <w:szCs w:val="22"/>
        </w:rPr>
        <w:t xml:space="preserve"> </w:t>
      </w:r>
      <w:r w:rsidR="00760705">
        <w:rPr>
          <w:b/>
          <w:sz w:val="22"/>
          <w:szCs w:val="22"/>
        </w:rPr>
        <w:t>3</w:t>
      </w:r>
      <w:r w:rsidR="00A13E63">
        <w:rPr>
          <w:b/>
          <w:sz w:val="22"/>
          <w:szCs w:val="22"/>
        </w:rPr>
        <w:t>0</w:t>
      </w:r>
      <w:r w:rsidR="006470B0">
        <w:rPr>
          <w:b/>
          <w:sz w:val="22"/>
          <w:szCs w:val="22"/>
        </w:rPr>
        <w:t>,</w:t>
      </w:r>
      <w:r w:rsidR="00657D5F">
        <w:rPr>
          <w:b/>
          <w:sz w:val="22"/>
          <w:szCs w:val="22"/>
        </w:rPr>
        <w:t xml:space="preserve"> 201</w:t>
      </w:r>
      <w:r w:rsidR="00705D0C">
        <w:rPr>
          <w:b/>
          <w:sz w:val="22"/>
          <w:szCs w:val="22"/>
        </w:rPr>
        <w:t>5</w:t>
      </w:r>
      <w:r w:rsidRPr="00100ED1">
        <w:rPr>
          <w:b/>
          <w:sz w:val="22"/>
          <w:szCs w:val="22"/>
        </w:rPr>
        <w:t>)</w:t>
      </w:r>
    </w:p>
    <w:p w:rsidR="00CC089D" w:rsidRPr="00100ED1" w:rsidRDefault="00CC089D" w:rsidP="00CC089D">
      <w:pPr>
        <w:rPr>
          <w:sz w:val="22"/>
          <w:szCs w:val="22"/>
        </w:rPr>
      </w:pPr>
    </w:p>
    <w:p w:rsidR="0019051B" w:rsidRPr="00100ED1" w:rsidRDefault="0019051B" w:rsidP="00C123A1">
      <w:pPr>
        <w:jc w:val="both"/>
        <w:rPr>
          <w:b/>
          <w:sz w:val="22"/>
          <w:szCs w:val="22"/>
        </w:rPr>
      </w:pPr>
      <w:r w:rsidRPr="00100ED1">
        <w:rPr>
          <w:b/>
          <w:sz w:val="22"/>
          <w:szCs w:val="22"/>
          <w:u w:val="single"/>
        </w:rPr>
        <w:t>Public Outreach</w:t>
      </w:r>
      <w:r w:rsidR="00100ED1">
        <w:rPr>
          <w:b/>
          <w:sz w:val="22"/>
          <w:szCs w:val="22"/>
        </w:rPr>
        <w:t xml:space="preserve"> </w:t>
      </w:r>
    </w:p>
    <w:p w:rsidR="007D729A" w:rsidRPr="007D729A" w:rsidRDefault="007D729A" w:rsidP="007D729A">
      <w:pPr>
        <w:jc w:val="both"/>
        <w:rPr>
          <w:rFonts w:ascii="Calibri" w:hAnsi="Calibri"/>
          <w:sz w:val="22"/>
          <w:szCs w:val="22"/>
        </w:rPr>
      </w:pPr>
    </w:p>
    <w:p w:rsidR="007D729A" w:rsidRPr="007D729A" w:rsidRDefault="007D729A" w:rsidP="007D729A">
      <w:pPr>
        <w:numPr>
          <w:ilvl w:val="0"/>
          <w:numId w:val="36"/>
        </w:numPr>
        <w:tabs>
          <w:tab w:val="left" w:pos="720"/>
        </w:tabs>
        <w:ind w:left="720" w:hanging="720"/>
        <w:contextualSpacing/>
        <w:jc w:val="both"/>
        <w:rPr>
          <w:sz w:val="22"/>
          <w:szCs w:val="22"/>
        </w:rPr>
      </w:pPr>
      <w:r w:rsidRPr="007D729A">
        <w:rPr>
          <w:sz w:val="22"/>
          <w:szCs w:val="22"/>
        </w:rPr>
        <w:t xml:space="preserve">Tennessee </w:t>
      </w:r>
      <w:r w:rsidR="00B16920">
        <w:rPr>
          <w:sz w:val="22"/>
          <w:szCs w:val="22"/>
        </w:rPr>
        <w:t xml:space="preserve">provided </w:t>
      </w:r>
      <w:r w:rsidRPr="007D729A">
        <w:rPr>
          <w:sz w:val="22"/>
          <w:szCs w:val="22"/>
        </w:rPr>
        <w:t>the following NED Project notifications:</w:t>
      </w:r>
    </w:p>
    <w:p w:rsidR="007D729A" w:rsidRPr="007D729A" w:rsidRDefault="007D729A" w:rsidP="007D729A">
      <w:pPr>
        <w:ind w:left="1530"/>
        <w:contextualSpacing/>
        <w:jc w:val="both"/>
        <w:rPr>
          <w:rFonts w:ascii="Calibri" w:hAnsi="Calibri"/>
          <w:sz w:val="22"/>
          <w:szCs w:val="22"/>
        </w:rPr>
      </w:pPr>
    </w:p>
    <w:p w:rsidR="007D729A" w:rsidRPr="007D729A" w:rsidRDefault="007D729A" w:rsidP="007D729A">
      <w:pPr>
        <w:numPr>
          <w:ilvl w:val="0"/>
          <w:numId w:val="38"/>
        </w:numPr>
        <w:ind w:left="1530"/>
        <w:contextualSpacing/>
        <w:jc w:val="both"/>
        <w:rPr>
          <w:sz w:val="22"/>
          <w:szCs w:val="22"/>
        </w:rPr>
      </w:pPr>
      <w:r w:rsidRPr="007D729A">
        <w:rPr>
          <w:sz w:val="22"/>
          <w:szCs w:val="22"/>
        </w:rPr>
        <w:t>On June 2, 2015, Tennessee provided impacted elected officials in Massachusetts, Pennsylvania, New Hampshire</w:t>
      </w:r>
      <w:r w:rsidR="00B16920">
        <w:rPr>
          <w:sz w:val="22"/>
          <w:szCs w:val="22"/>
        </w:rPr>
        <w:t>,</w:t>
      </w:r>
      <w:r w:rsidRPr="007D729A">
        <w:rPr>
          <w:sz w:val="22"/>
          <w:szCs w:val="22"/>
        </w:rPr>
        <w:t xml:space="preserve"> and New York with information about the proposed nine new compressor station locations.</w:t>
      </w:r>
    </w:p>
    <w:p w:rsidR="007D729A" w:rsidRPr="007D729A" w:rsidRDefault="007D729A" w:rsidP="007D729A">
      <w:pPr>
        <w:numPr>
          <w:ilvl w:val="0"/>
          <w:numId w:val="38"/>
        </w:numPr>
        <w:ind w:left="1530"/>
        <w:contextualSpacing/>
        <w:jc w:val="both"/>
        <w:rPr>
          <w:sz w:val="22"/>
          <w:szCs w:val="22"/>
        </w:rPr>
      </w:pPr>
      <w:r w:rsidRPr="007D729A">
        <w:rPr>
          <w:sz w:val="22"/>
          <w:szCs w:val="22"/>
        </w:rPr>
        <w:t>On June 2, 2015, Tennessee provided impacted elected officials in Massachusetts, Pennsylvania</w:t>
      </w:r>
      <w:r w:rsidR="00B16920">
        <w:rPr>
          <w:sz w:val="22"/>
          <w:szCs w:val="22"/>
        </w:rPr>
        <w:t>,</w:t>
      </w:r>
      <w:r w:rsidRPr="007D729A">
        <w:rPr>
          <w:sz w:val="22"/>
          <w:szCs w:val="22"/>
        </w:rPr>
        <w:t xml:space="preserve"> and Connecticut with information about the removal of two pipeline laterals and modifications at three existing meter stations from the scope of the Project.</w:t>
      </w:r>
    </w:p>
    <w:p w:rsidR="007D729A" w:rsidRPr="007D729A" w:rsidRDefault="007D729A" w:rsidP="007D729A">
      <w:pPr>
        <w:numPr>
          <w:ilvl w:val="0"/>
          <w:numId w:val="38"/>
        </w:numPr>
        <w:ind w:left="1530"/>
        <w:contextualSpacing/>
        <w:jc w:val="both"/>
        <w:rPr>
          <w:sz w:val="22"/>
          <w:szCs w:val="22"/>
        </w:rPr>
      </w:pPr>
      <w:r w:rsidRPr="007D729A">
        <w:rPr>
          <w:sz w:val="22"/>
          <w:szCs w:val="22"/>
        </w:rPr>
        <w:t xml:space="preserve">On June 24, 2015, Tennessee provided impacted elected officials in Massachusetts with the Beacon Hill Institute economic study of the </w:t>
      </w:r>
      <w:r w:rsidR="00B16920">
        <w:rPr>
          <w:sz w:val="22"/>
          <w:szCs w:val="22"/>
        </w:rPr>
        <w:t>P</w:t>
      </w:r>
      <w:r w:rsidRPr="007D729A">
        <w:rPr>
          <w:sz w:val="22"/>
          <w:szCs w:val="22"/>
        </w:rPr>
        <w:t>roject in Massachusetts</w:t>
      </w:r>
    </w:p>
    <w:p w:rsidR="007D729A" w:rsidRPr="007D729A" w:rsidRDefault="007D729A" w:rsidP="007D729A">
      <w:pPr>
        <w:rPr>
          <w:rFonts w:ascii="Calibri" w:hAnsi="Calibri"/>
          <w:sz w:val="22"/>
          <w:szCs w:val="22"/>
        </w:rPr>
      </w:pPr>
    </w:p>
    <w:p w:rsidR="007D729A" w:rsidRPr="007D729A" w:rsidRDefault="007D729A" w:rsidP="007D729A">
      <w:pPr>
        <w:jc w:val="both"/>
        <w:rPr>
          <w:rFonts w:ascii="Calibri" w:hAnsi="Calibri"/>
          <w:sz w:val="22"/>
          <w:szCs w:val="22"/>
        </w:rPr>
      </w:pPr>
      <w:r w:rsidRPr="007D729A">
        <w:rPr>
          <w:rFonts w:ascii="Calibri" w:hAnsi="Calibri"/>
          <w:sz w:val="22"/>
          <w:szCs w:val="22"/>
        </w:rPr>
        <w:t>•</w:t>
      </w:r>
      <w:r w:rsidRPr="007D729A">
        <w:rPr>
          <w:rFonts w:ascii="Calibri" w:hAnsi="Calibri"/>
          <w:sz w:val="22"/>
          <w:szCs w:val="22"/>
        </w:rPr>
        <w:tab/>
      </w:r>
      <w:r w:rsidRPr="007D729A">
        <w:rPr>
          <w:sz w:val="22"/>
          <w:szCs w:val="22"/>
        </w:rPr>
        <w:t>Tennessee conducted the following town presentations:</w:t>
      </w:r>
    </w:p>
    <w:p w:rsidR="007D729A" w:rsidRPr="007D729A" w:rsidRDefault="007D729A" w:rsidP="007D729A">
      <w:pPr>
        <w:numPr>
          <w:ilvl w:val="0"/>
          <w:numId w:val="37"/>
        </w:numPr>
        <w:spacing w:before="100" w:beforeAutospacing="1" w:after="100" w:afterAutospacing="1"/>
        <w:rPr>
          <w:sz w:val="22"/>
          <w:szCs w:val="22"/>
        </w:rPr>
      </w:pPr>
      <w:r w:rsidRPr="007D729A">
        <w:rPr>
          <w:sz w:val="22"/>
          <w:szCs w:val="22"/>
        </w:rPr>
        <w:t xml:space="preserve">June 2, 2015: Winchester, New Hampshire </w:t>
      </w:r>
    </w:p>
    <w:p w:rsidR="007D729A" w:rsidRPr="007D729A" w:rsidRDefault="007D729A" w:rsidP="007D729A">
      <w:pPr>
        <w:numPr>
          <w:ilvl w:val="0"/>
          <w:numId w:val="37"/>
        </w:numPr>
        <w:spacing w:before="100" w:beforeAutospacing="1" w:after="100" w:afterAutospacing="1"/>
        <w:rPr>
          <w:sz w:val="22"/>
          <w:szCs w:val="22"/>
        </w:rPr>
      </w:pPr>
      <w:r w:rsidRPr="007D729A">
        <w:rPr>
          <w:sz w:val="22"/>
          <w:szCs w:val="22"/>
        </w:rPr>
        <w:t>June 10, 2015: Brookline, New Hampshire  </w:t>
      </w:r>
    </w:p>
    <w:p w:rsidR="007D729A" w:rsidRPr="007D729A" w:rsidRDefault="007D729A" w:rsidP="007D729A">
      <w:pPr>
        <w:numPr>
          <w:ilvl w:val="0"/>
          <w:numId w:val="37"/>
        </w:numPr>
        <w:spacing w:before="100" w:beforeAutospacing="1" w:after="100" w:afterAutospacing="1"/>
        <w:rPr>
          <w:sz w:val="22"/>
          <w:szCs w:val="22"/>
        </w:rPr>
      </w:pPr>
      <w:r w:rsidRPr="007D729A">
        <w:rPr>
          <w:sz w:val="22"/>
          <w:szCs w:val="22"/>
        </w:rPr>
        <w:t>June 11, 2015: Methuen, Massachusetts</w:t>
      </w:r>
    </w:p>
    <w:p w:rsidR="007D729A" w:rsidRPr="007D729A" w:rsidRDefault="007D729A" w:rsidP="007D729A">
      <w:pPr>
        <w:numPr>
          <w:ilvl w:val="0"/>
          <w:numId w:val="37"/>
        </w:numPr>
        <w:spacing w:before="100" w:beforeAutospacing="1" w:after="100" w:afterAutospacing="1"/>
        <w:rPr>
          <w:sz w:val="22"/>
          <w:szCs w:val="22"/>
        </w:rPr>
      </w:pPr>
      <w:r w:rsidRPr="007D729A">
        <w:rPr>
          <w:sz w:val="22"/>
          <w:szCs w:val="22"/>
        </w:rPr>
        <w:t>June 15, 2015: North Reading, Massachusetts  </w:t>
      </w:r>
    </w:p>
    <w:p w:rsidR="007D729A" w:rsidRPr="007D729A" w:rsidRDefault="007D729A" w:rsidP="007D729A">
      <w:pPr>
        <w:numPr>
          <w:ilvl w:val="0"/>
          <w:numId w:val="37"/>
        </w:numPr>
        <w:spacing w:before="100" w:beforeAutospacing="1" w:after="100" w:afterAutospacing="1"/>
        <w:rPr>
          <w:sz w:val="22"/>
          <w:szCs w:val="22"/>
        </w:rPr>
      </w:pPr>
      <w:r w:rsidRPr="007D729A">
        <w:rPr>
          <w:sz w:val="22"/>
          <w:szCs w:val="22"/>
        </w:rPr>
        <w:t>June 16, 2015: Hudson, New Hampshire </w:t>
      </w:r>
    </w:p>
    <w:p w:rsidR="007D729A" w:rsidRPr="007D729A" w:rsidRDefault="007D729A" w:rsidP="007D729A">
      <w:pPr>
        <w:numPr>
          <w:ilvl w:val="0"/>
          <w:numId w:val="37"/>
        </w:numPr>
        <w:spacing w:before="100" w:beforeAutospacing="1" w:after="100" w:afterAutospacing="1"/>
        <w:rPr>
          <w:sz w:val="22"/>
          <w:szCs w:val="22"/>
        </w:rPr>
      </w:pPr>
      <w:r w:rsidRPr="007D729A">
        <w:rPr>
          <w:sz w:val="22"/>
          <w:szCs w:val="22"/>
        </w:rPr>
        <w:t>June 18, 2015: Londonderry, New Hampshire </w:t>
      </w:r>
    </w:p>
    <w:p w:rsidR="007D729A" w:rsidRPr="007D729A" w:rsidRDefault="007D729A" w:rsidP="007D729A">
      <w:pPr>
        <w:numPr>
          <w:ilvl w:val="0"/>
          <w:numId w:val="37"/>
        </w:numPr>
        <w:spacing w:before="100" w:beforeAutospacing="1" w:after="100" w:afterAutospacing="1"/>
        <w:rPr>
          <w:sz w:val="22"/>
          <w:szCs w:val="22"/>
        </w:rPr>
      </w:pPr>
      <w:r w:rsidRPr="007D729A">
        <w:rPr>
          <w:sz w:val="22"/>
          <w:szCs w:val="22"/>
        </w:rPr>
        <w:t>June 23, 2015: Peabody, Massachusetts </w:t>
      </w:r>
    </w:p>
    <w:p w:rsidR="00CC089D" w:rsidRPr="005755AE" w:rsidRDefault="00CC089D" w:rsidP="009028F0">
      <w:pPr>
        <w:widowControl w:val="0"/>
        <w:jc w:val="both"/>
        <w:rPr>
          <w:b/>
          <w:sz w:val="22"/>
          <w:szCs w:val="22"/>
        </w:rPr>
      </w:pPr>
      <w:r w:rsidRPr="005755AE">
        <w:rPr>
          <w:b/>
          <w:sz w:val="22"/>
          <w:szCs w:val="22"/>
          <w:u w:val="single"/>
        </w:rPr>
        <w:t>Environmental</w:t>
      </w:r>
      <w:r w:rsidR="00100ED1" w:rsidRPr="005755AE">
        <w:rPr>
          <w:b/>
          <w:sz w:val="22"/>
          <w:szCs w:val="22"/>
        </w:rPr>
        <w:t xml:space="preserve"> </w:t>
      </w:r>
    </w:p>
    <w:p w:rsidR="009A5F4C" w:rsidRPr="005755AE" w:rsidRDefault="009A5F4C" w:rsidP="009028F0">
      <w:pPr>
        <w:widowControl w:val="0"/>
        <w:jc w:val="both"/>
        <w:rPr>
          <w:sz w:val="22"/>
          <w:szCs w:val="22"/>
        </w:rPr>
      </w:pPr>
    </w:p>
    <w:p w:rsidR="000A38A0" w:rsidRPr="00C43689" w:rsidRDefault="000A38A0" w:rsidP="000A38A0">
      <w:pPr>
        <w:pStyle w:val="ListParagraph"/>
        <w:widowControl w:val="0"/>
        <w:numPr>
          <w:ilvl w:val="0"/>
          <w:numId w:val="10"/>
        </w:numPr>
        <w:ind w:left="720" w:hanging="630"/>
        <w:jc w:val="both"/>
        <w:rPr>
          <w:b/>
          <w:sz w:val="22"/>
          <w:szCs w:val="22"/>
          <w:u w:val="single"/>
        </w:rPr>
      </w:pPr>
      <w:r w:rsidRPr="00E556FA">
        <w:rPr>
          <w:sz w:val="22"/>
          <w:szCs w:val="22"/>
        </w:rPr>
        <w:t>Tennessee continued to prepar</w:t>
      </w:r>
      <w:r w:rsidR="00B16920">
        <w:rPr>
          <w:sz w:val="22"/>
          <w:szCs w:val="22"/>
        </w:rPr>
        <w:t>e</w:t>
      </w:r>
      <w:r w:rsidRPr="00E556FA">
        <w:rPr>
          <w:sz w:val="22"/>
          <w:szCs w:val="22"/>
        </w:rPr>
        <w:t xml:space="preserve"> </w:t>
      </w:r>
      <w:r>
        <w:rPr>
          <w:sz w:val="22"/>
          <w:szCs w:val="22"/>
        </w:rPr>
        <w:t xml:space="preserve">the second </w:t>
      </w:r>
      <w:r w:rsidRPr="00E556FA">
        <w:rPr>
          <w:sz w:val="22"/>
          <w:szCs w:val="22"/>
        </w:rPr>
        <w:t>draft</w:t>
      </w:r>
      <w:r>
        <w:rPr>
          <w:sz w:val="22"/>
          <w:szCs w:val="22"/>
        </w:rPr>
        <w:t xml:space="preserve"> of</w:t>
      </w:r>
      <w:r w:rsidRPr="00E556FA">
        <w:rPr>
          <w:sz w:val="22"/>
          <w:szCs w:val="22"/>
        </w:rPr>
        <w:t xml:space="preserve"> </w:t>
      </w:r>
      <w:r w:rsidR="00B16920">
        <w:rPr>
          <w:sz w:val="22"/>
          <w:szCs w:val="22"/>
        </w:rPr>
        <w:t>the Environmental Report (</w:t>
      </w:r>
      <w:r w:rsidRPr="00E556FA">
        <w:rPr>
          <w:sz w:val="22"/>
          <w:szCs w:val="22"/>
        </w:rPr>
        <w:t>Resource Reports 1 through 13</w:t>
      </w:r>
      <w:r w:rsidR="00B16920">
        <w:rPr>
          <w:sz w:val="22"/>
          <w:szCs w:val="22"/>
        </w:rPr>
        <w:t>)</w:t>
      </w:r>
      <w:r w:rsidRPr="00E556FA">
        <w:rPr>
          <w:sz w:val="22"/>
          <w:szCs w:val="22"/>
        </w:rPr>
        <w:t xml:space="preserve"> for the anticipated filing of the report </w:t>
      </w:r>
      <w:r>
        <w:rPr>
          <w:sz w:val="22"/>
          <w:szCs w:val="22"/>
        </w:rPr>
        <w:t>in</w:t>
      </w:r>
      <w:r w:rsidRPr="00E556FA">
        <w:rPr>
          <w:sz w:val="22"/>
          <w:szCs w:val="22"/>
        </w:rPr>
        <w:t xml:space="preserve"> </w:t>
      </w:r>
      <w:r>
        <w:rPr>
          <w:sz w:val="22"/>
          <w:szCs w:val="22"/>
        </w:rPr>
        <w:t>July</w:t>
      </w:r>
      <w:r w:rsidRPr="00E556FA">
        <w:rPr>
          <w:sz w:val="22"/>
          <w:szCs w:val="22"/>
        </w:rPr>
        <w:t xml:space="preserve"> 2015.</w:t>
      </w:r>
    </w:p>
    <w:p w:rsidR="007D729A" w:rsidRDefault="009864EE" w:rsidP="009028F0">
      <w:pPr>
        <w:pStyle w:val="ListParagraph"/>
        <w:widowControl w:val="0"/>
        <w:numPr>
          <w:ilvl w:val="0"/>
          <w:numId w:val="10"/>
        </w:numPr>
        <w:ind w:left="720"/>
        <w:jc w:val="both"/>
        <w:rPr>
          <w:sz w:val="22"/>
          <w:szCs w:val="22"/>
        </w:rPr>
      </w:pPr>
      <w:r w:rsidRPr="00C43689">
        <w:rPr>
          <w:sz w:val="22"/>
          <w:szCs w:val="22"/>
        </w:rPr>
        <w:t xml:space="preserve">Tennessee </w:t>
      </w:r>
      <w:r w:rsidR="009E067B">
        <w:rPr>
          <w:sz w:val="22"/>
          <w:szCs w:val="22"/>
        </w:rPr>
        <w:t>continued</w:t>
      </w:r>
      <w:r w:rsidR="00C43689" w:rsidRPr="00C43689">
        <w:rPr>
          <w:sz w:val="22"/>
          <w:szCs w:val="22"/>
        </w:rPr>
        <w:t xml:space="preserve"> </w:t>
      </w:r>
      <w:r w:rsidRPr="00C43689">
        <w:rPr>
          <w:sz w:val="22"/>
          <w:szCs w:val="22"/>
        </w:rPr>
        <w:t>field surveys</w:t>
      </w:r>
      <w:r w:rsidR="000A38A0">
        <w:rPr>
          <w:sz w:val="22"/>
          <w:szCs w:val="22"/>
        </w:rPr>
        <w:t xml:space="preserve"> during the reporting period</w:t>
      </w:r>
      <w:r w:rsidRPr="00C43689">
        <w:rPr>
          <w:sz w:val="22"/>
          <w:szCs w:val="22"/>
        </w:rPr>
        <w:t xml:space="preserve">, including cultural, environmental, and threatened and endangered species surveys.  </w:t>
      </w:r>
      <w:r w:rsidR="00F64EC3">
        <w:rPr>
          <w:sz w:val="22"/>
          <w:szCs w:val="22"/>
        </w:rPr>
        <w:t xml:space="preserve">Threatened and endangered species surveys </w:t>
      </w:r>
      <w:r w:rsidR="007D729A">
        <w:rPr>
          <w:sz w:val="22"/>
          <w:szCs w:val="22"/>
        </w:rPr>
        <w:t>conducted</w:t>
      </w:r>
      <w:r w:rsidR="00F64EC3">
        <w:rPr>
          <w:sz w:val="22"/>
          <w:szCs w:val="22"/>
        </w:rPr>
        <w:t xml:space="preserve"> </w:t>
      </w:r>
      <w:r w:rsidR="007D729A">
        <w:rPr>
          <w:sz w:val="22"/>
          <w:szCs w:val="22"/>
        </w:rPr>
        <w:t xml:space="preserve">during the reporting period </w:t>
      </w:r>
      <w:r w:rsidR="00F64EC3">
        <w:rPr>
          <w:sz w:val="22"/>
          <w:szCs w:val="22"/>
        </w:rPr>
        <w:t>includ</w:t>
      </w:r>
      <w:r w:rsidR="007D729A">
        <w:rPr>
          <w:sz w:val="22"/>
          <w:szCs w:val="22"/>
        </w:rPr>
        <w:t>e</w:t>
      </w:r>
      <w:r w:rsidR="00F64EC3">
        <w:rPr>
          <w:sz w:val="22"/>
          <w:szCs w:val="22"/>
        </w:rPr>
        <w:t xml:space="preserve"> bat acoustic surveys in </w:t>
      </w:r>
      <w:r w:rsidR="007D729A">
        <w:rPr>
          <w:sz w:val="22"/>
          <w:szCs w:val="22"/>
        </w:rPr>
        <w:t>Pennsylvania</w:t>
      </w:r>
      <w:r w:rsidR="0006304C">
        <w:rPr>
          <w:sz w:val="22"/>
          <w:szCs w:val="22"/>
        </w:rPr>
        <w:t>,</w:t>
      </w:r>
      <w:r w:rsidR="007D729A">
        <w:rPr>
          <w:sz w:val="22"/>
          <w:szCs w:val="22"/>
        </w:rPr>
        <w:t xml:space="preserve"> </w:t>
      </w:r>
      <w:r w:rsidR="00F64EC3">
        <w:rPr>
          <w:sz w:val="22"/>
          <w:szCs w:val="22"/>
        </w:rPr>
        <w:t>New York,</w:t>
      </w:r>
      <w:r w:rsidR="0006304C">
        <w:rPr>
          <w:sz w:val="22"/>
          <w:szCs w:val="22"/>
        </w:rPr>
        <w:t xml:space="preserve"> and Massachusetts; bog t</w:t>
      </w:r>
      <w:r w:rsidR="00F64EC3">
        <w:rPr>
          <w:sz w:val="22"/>
          <w:szCs w:val="22"/>
        </w:rPr>
        <w:t>urtle surveys in</w:t>
      </w:r>
      <w:r w:rsidR="00F64EC3" w:rsidRPr="00F64EC3">
        <w:rPr>
          <w:sz w:val="22"/>
          <w:szCs w:val="22"/>
        </w:rPr>
        <w:t xml:space="preserve"> </w:t>
      </w:r>
      <w:r w:rsidR="00F64EC3" w:rsidRPr="00F64EC3">
        <w:rPr>
          <w:color w:val="222222"/>
          <w:sz w:val="22"/>
          <w:szCs w:val="22"/>
          <w:lang w:val="en"/>
        </w:rPr>
        <w:t>Rensselaer</w:t>
      </w:r>
      <w:r w:rsidR="00F64EC3" w:rsidRPr="00F64EC3">
        <w:rPr>
          <w:sz w:val="22"/>
          <w:szCs w:val="22"/>
        </w:rPr>
        <w:t xml:space="preserve"> County</w:t>
      </w:r>
      <w:r w:rsidR="00F64EC3">
        <w:rPr>
          <w:sz w:val="22"/>
          <w:szCs w:val="22"/>
        </w:rPr>
        <w:t>, New York</w:t>
      </w:r>
      <w:r w:rsidR="0006304C">
        <w:rPr>
          <w:sz w:val="22"/>
          <w:szCs w:val="22"/>
        </w:rPr>
        <w:t xml:space="preserve">; and </w:t>
      </w:r>
      <w:r w:rsidR="007D729A">
        <w:rPr>
          <w:sz w:val="22"/>
          <w:szCs w:val="22"/>
        </w:rPr>
        <w:t>plant surveys in Pennsylvania, New York, and Connecticut</w:t>
      </w:r>
      <w:r w:rsidR="00F64EC3">
        <w:rPr>
          <w:sz w:val="22"/>
          <w:szCs w:val="22"/>
        </w:rPr>
        <w:t xml:space="preserve">.  </w:t>
      </w:r>
      <w:r w:rsidR="007D729A">
        <w:rPr>
          <w:sz w:val="22"/>
          <w:szCs w:val="22"/>
        </w:rPr>
        <w:t>Tennessee continues to prepare for a</w:t>
      </w:r>
      <w:r w:rsidR="00F64EC3">
        <w:rPr>
          <w:sz w:val="22"/>
          <w:szCs w:val="22"/>
        </w:rPr>
        <w:t>dditional t</w:t>
      </w:r>
      <w:r w:rsidRPr="00C43689">
        <w:rPr>
          <w:sz w:val="22"/>
          <w:szCs w:val="22"/>
        </w:rPr>
        <w:t xml:space="preserve">hreatened and endangered species </w:t>
      </w:r>
      <w:r w:rsidR="007D729A">
        <w:rPr>
          <w:sz w:val="22"/>
          <w:szCs w:val="22"/>
        </w:rPr>
        <w:t xml:space="preserve">surveys throughout the Project area once survey </w:t>
      </w:r>
      <w:r w:rsidRPr="00C43689">
        <w:rPr>
          <w:sz w:val="22"/>
          <w:szCs w:val="22"/>
        </w:rPr>
        <w:t xml:space="preserve">protocols </w:t>
      </w:r>
      <w:r w:rsidR="007D729A">
        <w:rPr>
          <w:sz w:val="22"/>
          <w:szCs w:val="22"/>
        </w:rPr>
        <w:t>are finalized.</w:t>
      </w:r>
    </w:p>
    <w:p w:rsidR="009864EE" w:rsidRPr="00C43689" w:rsidRDefault="007D729A" w:rsidP="009028F0">
      <w:pPr>
        <w:pStyle w:val="ListParagraph"/>
        <w:widowControl w:val="0"/>
        <w:numPr>
          <w:ilvl w:val="0"/>
          <w:numId w:val="10"/>
        </w:numPr>
        <w:ind w:left="720"/>
        <w:jc w:val="both"/>
        <w:rPr>
          <w:sz w:val="22"/>
          <w:szCs w:val="22"/>
        </w:rPr>
      </w:pPr>
      <w:r>
        <w:rPr>
          <w:sz w:val="22"/>
          <w:szCs w:val="22"/>
        </w:rPr>
        <w:t xml:space="preserve">Tennessee submitted additional threatened and endangered species consultation letters to respective agencies based on Project route modifications, and identification of Project access roads and compressor station locations. </w:t>
      </w:r>
      <w:r w:rsidR="009864EE" w:rsidRPr="00C43689">
        <w:rPr>
          <w:sz w:val="22"/>
          <w:szCs w:val="22"/>
        </w:rPr>
        <w:t xml:space="preserve">  </w:t>
      </w:r>
    </w:p>
    <w:p w:rsidR="00353ED9" w:rsidRPr="00C43689" w:rsidRDefault="009E067B" w:rsidP="00353ED9">
      <w:pPr>
        <w:pStyle w:val="ListParagraph"/>
        <w:widowControl w:val="0"/>
        <w:numPr>
          <w:ilvl w:val="0"/>
          <w:numId w:val="10"/>
        </w:numPr>
        <w:ind w:left="720"/>
        <w:jc w:val="both"/>
        <w:rPr>
          <w:b/>
          <w:sz w:val="22"/>
          <w:szCs w:val="22"/>
          <w:u w:val="single"/>
        </w:rPr>
      </w:pPr>
      <w:r w:rsidRPr="00137065">
        <w:rPr>
          <w:sz w:val="22"/>
          <w:szCs w:val="22"/>
        </w:rPr>
        <w:t>As of</w:t>
      </w:r>
      <w:r w:rsidR="004B5DF3">
        <w:rPr>
          <w:sz w:val="22"/>
          <w:szCs w:val="22"/>
        </w:rPr>
        <w:t xml:space="preserve"> June 30</w:t>
      </w:r>
      <w:r w:rsidRPr="00137065">
        <w:rPr>
          <w:sz w:val="22"/>
          <w:szCs w:val="22"/>
        </w:rPr>
        <w:t xml:space="preserve">, 2015, biological surveys </w:t>
      </w:r>
      <w:r w:rsidR="00F64EC3">
        <w:rPr>
          <w:sz w:val="22"/>
          <w:szCs w:val="22"/>
        </w:rPr>
        <w:t xml:space="preserve">(including streams and wetlands) </w:t>
      </w:r>
      <w:r w:rsidRPr="00137065">
        <w:rPr>
          <w:sz w:val="22"/>
          <w:szCs w:val="22"/>
        </w:rPr>
        <w:t xml:space="preserve">have taken place over approximately </w:t>
      </w:r>
      <w:r>
        <w:rPr>
          <w:sz w:val="22"/>
          <w:szCs w:val="22"/>
        </w:rPr>
        <w:t>4</w:t>
      </w:r>
      <w:r w:rsidR="00A17661">
        <w:rPr>
          <w:sz w:val="22"/>
          <w:szCs w:val="22"/>
        </w:rPr>
        <w:t>8.46</w:t>
      </w:r>
      <w:r w:rsidRPr="00137065">
        <w:rPr>
          <w:sz w:val="22"/>
          <w:szCs w:val="22"/>
        </w:rPr>
        <w:t xml:space="preserve"> miles, or </w:t>
      </w:r>
      <w:r w:rsidR="00A17661">
        <w:rPr>
          <w:sz w:val="22"/>
          <w:szCs w:val="22"/>
        </w:rPr>
        <w:t>30</w:t>
      </w:r>
      <w:r w:rsidRPr="00137065">
        <w:rPr>
          <w:sz w:val="22"/>
          <w:szCs w:val="22"/>
        </w:rPr>
        <w:t xml:space="preserve"> percent, of the NED </w:t>
      </w:r>
      <w:r w:rsidR="00C51447" w:rsidRPr="007E5DD4">
        <w:rPr>
          <w:sz w:val="22"/>
          <w:szCs w:val="22"/>
        </w:rPr>
        <w:t>Project Supply Path</w:t>
      </w:r>
      <w:r w:rsidR="00E66EB4" w:rsidRPr="007E5DD4">
        <w:rPr>
          <w:sz w:val="22"/>
          <w:szCs w:val="22"/>
        </w:rPr>
        <w:t xml:space="preserve"> </w:t>
      </w:r>
      <w:r w:rsidR="00BA36EC" w:rsidRPr="007E5DD4">
        <w:rPr>
          <w:sz w:val="22"/>
          <w:szCs w:val="22"/>
        </w:rPr>
        <w:t>c</w:t>
      </w:r>
      <w:r w:rsidR="00E66EB4" w:rsidRPr="007E5DD4">
        <w:rPr>
          <w:sz w:val="22"/>
          <w:szCs w:val="22"/>
        </w:rPr>
        <w:t>omponent</w:t>
      </w:r>
      <w:r w:rsidR="00C51447" w:rsidRPr="007E5DD4">
        <w:rPr>
          <w:sz w:val="22"/>
          <w:szCs w:val="22"/>
        </w:rPr>
        <w:t xml:space="preserve"> route</w:t>
      </w:r>
      <w:r w:rsidR="00353ED9">
        <w:rPr>
          <w:sz w:val="22"/>
          <w:szCs w:val="22"/>
        </w:rPr>
        <w:t>,</w:t>
      </w:r>
      <w:r w:rsidR="00C51447" w:rsidRPr="007E5DD4">
        <w:rPr>
          <w:sz w:val="22"/>
          <w:szCs w:val="22"/>
        </w:rPr>
        <w:t xml:space="preserve"> </w:t>
      </w:r>
      <w:r w:rsidRPr="00137065">
        <w:rPr>
          <w:sz w:val="22"/>
          <w:szCs w:val="22"/>
        </w:rPr>
        <w:t xml:space="preserve">and approximately </w:t>
      </w:r>
      <w:r w:rsidR="00A17661">
        <w:rPr>
          <w:sz w:val="22"/>
          <w:szCs w:val="22"/>
        </w:rPr>
        <w:t>60.69</w:t>
      </w:r>
      <w:r w:rsidRPr="00137065">
        <w:rPr>
          <w:sz w:val="22"/>
          <w:szCs w:val="22"/>
        </w:rPr>
        <w:t xml:space="preserve"> miles, or </w:t>
      </w:r>
      <w:r w:rsidR="00A17661">
        <w:rPr>
          <w:sz w:val="22"/>
          <w:szCs w:val="22"/>
        </w:rPr>
        <w:t>24</w:t>
      </w:r>
      <w:r w:rsidRPr="00137065">
        <w:rPr>
          <w:sz w:val="22"/>
          <w:szCs w:val="22"/>
        </w:rPr>
        <w:t xml:space="preserve"> percent, of the</w:t>
      </w:r>
      <w:r w:rsidR="00E66EB4" w:rsidRPr="007E5DD4">
        <w:rPr>
          <w:sz w:val="22"/>
          <w:szCs w:val="22"/>
        </w:rPr>
        <w:t xml:space="preserve"> </w:t>
      </w:r>
      <w:r w:rsidR="00BA36EC" w:rsidRPr="007E5DD4">
        <w:rPr>
          <w:sz w:val="22"/>
          <w:szCs w:val="22"/>
        </w:rPr>
        <w:t xml:space="preserve">NED </w:t>
      </w:r>
      <w:r w:rsidR="00C51447" w:rsidRPr="007E5DD4">
        <w:rPr>
          <w:sz w:val="22"/>
          <w:szCs w:val="22"/>
        </w:rPr>
        <w:t xml:space="preserve">Project Market Path </w:t>
      </w:r>
      <w:r w:rsidR="00BA36EC" w:rsidRPr="007E5DD4">
        <w:rPr>
          <w:sz w:val="22"/>
          <w:szCs w:val="22"/>
        </w:rPr>
        <w:t>c</w:t>
      </w:r>
      <w:r w:rsidR="00E66EB4" w:rsidRPr="007E5DD4">
        <w:rPr>
          <w:sz w:val="22"/>
          <w:szCs w:val="22"/>
        </w:rPr>
        <w:t xml:space="preserve">omponent </w:t>
      </w:r>
      <w:r w:rsidR="00C51447" w:rsidRPr="007E5DD4">
        <w:rPr>
          <w:sz w:val="22"/>
          <w:szCs w:val="22"/>
        </w:rPr>
        <w:t>route.  In addition, cultural resourc</w:t>
      </w:r>
      <w:r w:rsidR="005755AE" w:rsidRPr="007E5DD4">
        <w:rPr>
          <w:sz w:val="22"/>
          <w:szCs w:val="22"/>
        </w:rPr>
        <w:t>e surveys have taken place over</w:t>
      </w:r>
      <w:r w:rsidR="00E66EB4" w:rsidRPr="007E5DD4">
        <w:rPr>
          <w:sz w:val="22"/>
          <w:szCs w:val="22"/>
        </w:rPr>
        <w:t xml:space="preserve"> </w:t>
      </w:r>
      <w:r w:rsidRPr="00137065">
        <w:rPr>
          <w:sz w:val="22"/>
          <w:szCs w:val="22"/>
        </w:rPr>
        <w:t xml:space="preserve">approximately </w:t>
      </w:r>
      <w:r w:rsidR="00A17661">
        <w:rPr>
          <w:sz w:val="22"/>
          <w:szCs w:val="22"/>
        </w:rPr>
        <w:t>80.34</w:t>
      </w:r>
      <w:r w:rsidRPr="00137065">
        <w:rPr>
          <w:sz w:val="22"/>
          <w:szCs w:val="22"/>
        </w:rPr>
        <w:t xml:space="preserve"> miles, or </w:t>
      </w:r>
      <w:r w:rsidR="00A17661">
        <w:rPr>
          <w:sz w:val="22"/>
          <w:szCs w:val="22"/>
        </w:rPr>
        <w:t>51</w:t>
      </w:r>
      <w:r w:rsidRPr="00137065">
        <w:rPr>
          <w:sz w:val="22"/>
          <w:szCs w:val="22"/>
        </w:rPr>
        <w:t xml:space="preserve"> percent</w:t>
      </w:r>
      <w:r w:rsidR="00C51447" w:rsidRPr="007E5DD4">
        <w:rPr>
          <w:sz w:val="22"/>
          <w:szCs w:val="22"/>
        </w:rPr>
        <w:t xml:space="preserve">, of the </w:t>
      </w:r>
      <w:r w:rsidR="00BA36EC" w:rsidRPr="007E5DD4">
        <w:rPr>
          <w:sz w:val="22"/>
          <w:szCs w:val="22"/>
        </w:rPr>
        <w:t xml:space="preserve">NED </w:t>
      </w:r>
      <w:r w:rsidR="00C51447" w:rsidRPr="007E5DD4">
        <w:rPr>
          <w:sz w:val="22"/>
          <w:szCs w:val="22"/>
        </w:rPr>
        <w:t xml:space="preserve">Project Supply Path </w:t>
      </w:r>
      <w:r w:rsidR="00BA36EC" w:rsidRPr="007E5DD4">
        <w:rPr>
          <w:sz w:val="22"/>
          <w:szCs w:val="22"/>
        </w:rPr>
        <w:t>c</w:t>
      </w:r>
      <w:r w:rsidR="00E66EB4" w:rsidRPr="007E5DD4">
        <w:rPr>
          <w:sz w:val="22"/>
          <w:szCs w:val="22"/>
        </w:rPr>
        <w:t xml:space="preserve">omponent </w:t>
      </w:r>
      <w:r w:rsidR="00C51447" w:rsidRPr="007E5DD4">
        <w:rPr>
          <w:sz w:val="22"/>
          <w:szCs w:val="22"/>
        </w:rPr>
        <w:t>route</w:t>
      </w:r>
      <w:r w:rsidR="00353ED9">
        <w:rPr>
          <w:sz w:val="22"/>
          <w:szCs w:val="22"/>
        </w:rPr>
        <w:t>,</w:t>
      </w:r>
      <w:r w:rsidR="00C51447" w:rsidRPr="007E5DD4">
        <w:rPr>
          <w:sz w:val="22"/>
          <w:szCs w:val="22"/>
        </w:rPr>
        <w:t xml:space="preserve"> and approximately </w:t>
      </w:r>
      <w:r w:rsidR="00C94A3A">
        <w:rPr>
          <w:sz w:val="22"/>
          <w:szCs w:val="22"/>
        </w:rPr>
        <w:t>32.</w:t>
      </w:r>
      <w:r w:rsidR="00A17661">
        <w:rPr>
          <w:sz w:val="22"/>
          <w:szCs w:val="22"/>
        </w:rPr>
        <w:t>65</w:t>
      </w:r>
      <w:r w:rsidR="00E66EB4" w:rsidRPr="007E5DD4">
        <w:rPr>
          <w:sz w:val="22"/>
          <w:szCs w:val="22"/>
        </w:rPr>
        <w:t xml:space="preserve"> </w:t>
      </w:r>
      <w:r w:rsidR="00C51447" w:rsidRPr="007E5DD4">
        <w:rPr>
          <w:sz w:val="22"/>
          <w:szCs w:val="22"/>
        </w:rPr>
        <w:t>miles, or 1</w:t>
      </w:r>
      <w:r w:rsidR="00C94A3A">
        <w:rPr>
          <w:sz w:val="22"/>
          <w:szCs w:val="22"/>
        </w:rPr>
        <w:t>3</w:t>
      </w:r>
      <w:r w:rsidR="00C51447" w:rsidRPr="007E5DD4">
        <w:rPr>
          <w:sz w:val="22"/>
          <w:szCs w:val="22"/>
        </w:rPr>
        <w:t xml:space="preserve"> percent, of the </w:t>
      </w:r>
      <w:r w:rsidR="00BA36EC" w:rsidRPr="007E5DD4">
        <w:rPr>
          <w:sz w:val="22"/>
          <w:szCs w:val="22"/>
        </w:rPr>
        <w:t xml:space="preserve">NED </w:t>
      </w:r>
      <w:r w:rsidR="00C51447" w:rsidRPr="007E5DD4">
        <w:rPr>
          <w:sz w:val="22"/>
          <w:szCs w:val="22"/>
        </w:rPr>
        <w:t xml:space="preserve">Project Market Path </w:t>
      </w:r>
      <w:r w:rsidR="00BA36EC" w:rsidRPr="007E5DD4">
        <w:rPr>
          <w:sz w:val="22"/>
          <w:szCs w:val="22"/>
        </w:rPr>
        <w:t>c</w:t>
      </w:r>
      <w:r w:rsidR="00E66EB4" w:rsidRPr="007E5DD4">
        <w:rPr>
          <w:sz w:val="22"/>
          <w:szCs w:val="22"/>
        </w:rPr>
        <w:t xml:space="preserve">omponent </w:t>
      </w:r>
      <w:r w:rsidR="00C51447" w:rsidRPr="007E5DD4">
        <w:rPr>
          <w:sz w:val="22"/>
          <w:szCs w:val="22"/>
        </w:rPr>
        <w:t xml:space="preserve">route.  </w:t>
      </w:r>
      <w:r w:rsidR="007E5DD4" w:rsidRPr="007E5DD4">
        <w:rPr>
          <w:sz w:val="22"/>
          <w:szCs w:val="22"/>
        </w:rPr>
        <w:t>T</w:t>
      </w:r>
      <w:r w:rsidR="005755AE" w:rsidRPr="007E5DD4">
        <w:rPr>
          <w:sz w:val="22"/>
          <w:szCs w:val="22"/>
        </w:rPr>
        <w:t>able 1</w:t>
      </w:r>
      <w:r w:rsidR="00711F36" w:rsidRPr="007E5DD4">
        <w:rPr>
          <w:sz w:val="22"/>
          <w:szCs w:val="22"/>
        </w:rPr>
        <w:t xml:space="preserve"> </w:t>
      </w:r>
      <w:r w:rsidR="005755AE" w:rsidRPr="007E5DD4">
        <w:rPr>
          <w:sz w:val="22"/>
          <w:szCs w:val="22"/>
        </w:rPr>
        <w:t>below summarizes the</w:t>
      </w:r>
      <w:r w:rsidR="00E66EB4" w:rsidRPr="007E5DD4">
        <w:rPr>
          <w:sz w:val="22"/>
          <w:szCs w:val="22"/>
        </w:rPr>
        <w:t xml:space="preserve"> </w:t>
      </w:r>
      <w:r w:rsidR="00C51447" w:rsidRPr="007E5DD4">
        <w:rPr>
          <w:sz w:val="22"/>
          <w:szCs w:val="22"/>
        </w:rPr>
        <w:t>completion status of environmental and cultural surveys.</w:t>
      </w:r>
    </w:p>
    <w:p w:rsidR="00A743F7" w:rsidRPr="007E5DD4" w:rsidRDefault="00A743F7" w:rsidP="00CE33D4">
      <w:pPr>
        <w:pStyle w:val="ListParagraph"/>
        <w:widowControl w:val="0"/>
        <w:ind w:left="0"/>
        <w:jc w:val="center"/>
        <w:rPr>
          <w:b/>
          <w:sz w:val="22"/>
          <w:szCs w:val="22"/>
          <w:u w:val="single"/>
        </w:rPr>
      </w:pPr>
      <w:r w:rsidRPr="007E5DD4">
        <w:rPr>
          <w:b/>
          <w:sz w:val="22"/>
          <w:szCs w:val="22"/>
          <w:u w:val="single"/>
        </w:rPr>
        <w:lastRenderedPageBreak/>
        <w:t>Table 1:  Civil, Biological</w:t>
      </w:r>
      <w:r w:rsidR="00C807B6" w:rsidRPr="007E5DD4">
        <w:rPr>
          <w:b/>
          <w:sz w:val="22"/>
          <w:szCs w:val="22"/>
          <w:u w:val="single"/>
        </w:rPr>
        <w:t>,</w:t>
      </w:r>
      <w:r w:rsidRPr="007E5DD4">
        <w:rPr>
          <w:b/>
          <w:sz w:val="22"/>
          <w:szCs w:val="22"/>
          <w:u w:val="single"/>
        </w:rPr>
        <w:t xml:space="preserve"> and Cultural Surveys Performed</w:t>
      </w:r>
    </w:p>
    <w:tbl>
      <w:tblPr>
        <w:tblW w:w="7430" w:type="dxa"/>
        <w:tblInd w:w="1258" w:type="dxa"/>
        <w:tblLook w:val="04A0" w:firstRow="1" w:lastRow="0" w:firstColumn="1" w:lastColumn="0" w:noHBand="0" w:noVBand="1"/>
      </w:tblPr>
      <w:tblGrid>
        <w:gridCol w:w="1738"/>
        <w:gridCol w:w="222"/>
        <w:gridCol w:w="848"/>
        <w:gridCol w:w="235"/>
        <w:gridCol w:w="1216"/>
        <w:gridCol w:w="222"/>
        <w:gridCol w:w="1524"/>
        <w:gridCol w:w="222"/>
        <w:gridCol w:w="1203"/>
      </w:tblGrid>
      <w:tr w:rsidR="003E2A61" w:rsidRPr="00A743F7" w:rsidTr="003E2A61">
        <w:trPr>
          <w:trHeight w:val="300"/>
        </w:trPr>
        <w:tc>
          <w:tcPr>
            <w:tcW w:w="1738" w:type="dxa"/>
            <w:tcBorders>
              <w:top w:val="nil"/>
              <w:left w:val="nil"/>
              <w:bottom w:val="nil"/>
              <w:right w:val="nil"/>
            </w:tcBorders>
            <w:noWrap/>
            <w:vAlign w:val="bottom"/>
            <w:hideMark/>
          </w:tcPr>
          <w:p w:rsidR="003E2A61" w:rsidRPr="00A743F7" w:rsidRDefault="003E2A61" w:rsidP="00025447">
            <w:pPr>
              <w:rPr>
                <w:color w:val="000000"/>
                <w:sz w:val="22"/>
                <w:szCs w:val="22"/>
              </w:rPr>
            </w:pPr>
          </w:p>
        </w:tc>
        <w:tc>
          <w:tcPr>
            <w:tcW w:w="222" w:type="dxa"/>
            <w:tcBorders>
              <w:top w:val="nil"/>
              <w:left w:val="nil"/>
              <w:bottom w:val="nil"/>
              <w:right w:val="nil"/>
            </w:tcBorders>
            <w:noWrap/>
            <w:vAlign w:val="bottom"/>
            <w:hideMark/>
          </w:tcPr>
          <w:p w:rsidR="003E2A61" w:rsidRPr="00A743F7" w:rsidRDefault="003E2A61" w:rsidP="00025447">
            <w:pPr>
              <w:rPr>
                <w:color w:val="000000"/>
                <w:sz w:val="22"/>
                <w:szCs w:val="22"/>
              </w:rPr>
            </w:pPr>
          </w:p>
        </w:tc>
        <w:tc>
          <w:tcPr>
            <w:tcW w:w="848" w:type="dxa"/>
            <w:tcBorders>
              <w:top w:val="nil"/>
              <w:left w:val="nil"/>
              <w:bottom w:val="nil"/>
              <w:right w:val="nil"/>
            </w:tcBorders>
            <w:vAlign w:val="bottom"/>
          </w:tcPr>
          <w:p w:rsidR="003E2A61" w:rsidRPr="00C51447" w:rsidRDefault="003E2A61" w:rsidP="009C555C">
            <w:pPr>
              <w:jc w:val="both"/>
              <w:rPr>
                <w:color w:val="000000"/>
                <w:sz w:val="22"/>
                <w:szCs w:val="22"/>
              </w:rPr>
            </w:pPr>
            <w:r w:rsidRPr="00C51447">
              <w:rPr>
                <w:color w:val="000000"/>
                <w:sz w:val="22"/>
                <w:szCs w:val="22"/>
              </w:rPr>
              <w:t>Survey</w:t>
            </w:r>
          </w:p>
        </w:tc>
        <w:tc>
          <w:tcPr>
            <w:tcW w:w="235" w:type="dxa"/>
            <w:tcBorders>
              <w:top w:val="nil"/>
              <w:left w:val="nil"/>
              <w:bottom w:val="nil"/>
              <w:right w:val="nil"/>
            </w:tcBorders>
            <w:noWrap/>
            <w:vAlign w:val="bottom"/>
            <w:hideMark/>
          </w:tcPr>
          <w:p w:rsidR="003E2A61" w:rsidRPr="00A743F7" w:rsidRDefault="003E2A61" w:rsidP="00025447">
            <w:pPr>
              <w:rPr>
                <w:color w:val="000000"/>
                <w:sz w:val="22"/>
                <w:szCs w:val="22"/>
              </w:rPr>
            </w:pPr>
          </w:p>
        </w:tc>
        <w:tc>
          <w:tcPr>
            <w:tcW w:w="4387" w:type="dxa"/>
            <w:gridSpan w:val="5"/>
            <w:tcBorders>
              <w:top w:val="nil"/>
              <w:left w:val="nil"/>
              <w:bottom w:val="single" w:sz="4" w:space="0" w:color="auto"/>
              <w:right w:val="nil"/>
            </w:tcBorders>
            <w:noWrap/>
            <w:vAlign w:val="bottom"/>
            <w:hideMark/>
          </w:tcPr>
          <w:p w:rsidR="003E2A61" w:rsidRPr="00A743F7" w:rsidRDefault="003E2A61" w:rsidP="00025447">
            <w:pPr>
              <w:jc w:val="center"/>
              <w:rPr>
                <w:color w:val="000000"/>
                <w:sz w:val="22"/>
                <w:szCs w:val="22"/>
              </w:rPr>
            </w:pPr>
            <w:r w:rsidRPr="00A743F7">
              <w:rPr>
                <w:color w:val="000000"/>
                <w:sz w:val="22"/>
                <w:szCs w:val="22"/>
              </w:rPr>
              <w:t>Survey Completed</w:t>
            </w:r>
            <w:r>
              <w:rPr>
                <w:color w:val="000000"/>
                <w:sz w:val="22"/>
                <w:szCs w:val="22"/>
              </w:rPr>
              <w:t xml:space="preserve"> (miles)</w:t>
            </w:r>
          </w:p>
        </w:tc>
      </w:tr>
      <w:tr w:rsidR="003E2A61" w:rsidRPr="00A743F7" w:rsidTr="003E2A61">
        <w:trPr>
          <w:trHeight w:val="300"/>
        </w:trPr>
        <w:tc>
          <w:tcPr>
            <w:tcW w:w="1738" w:type="dxa"/>
            <w:tcBorders>
              <w:top w:val="nil"/>
              <w:left w:val="nil"/>
              <w:bottom w:val="nil"/>
              <w:right w:val="nil"/>
            </w:tcBorders>
            <w:noWrap/>
            <w:vAlign w:val="bottom"/>
            <w:hideMark/>
          </w:tcPr>
          <w:p w:rsidR="003E2A61" w:rsidRPr="00A743F7" w:rsidRDefault="003E2A61" w:rsidP="00025447">
            <w:pPr>
              <w:rPr>
                <w:color w:val="000000"/>
                <w:sz w:val="22"/>
                <w:szCs w:val="22"/>
              </w:rPr>
            </w:pPr>
          </w:p>
        </w:tc>
        <w:tc>
          <w:tcPr>
            <w:tcW w:w="222" w:type="dxa"/>
            <w:tcBorders>
              <w:top w:val="nil"/>
              <w:left w:val="nil"/>
              <w:bottom w:val="nil"/>
              <w:right w:val="nil"/>
            </w:tcBorders>
            <w:noWrap/>
            <w:vAlign w:val="bottom"/>
            <w:hideMark/>
          </w:tcPr>
          <w:p w:rsidR="003E2A61" w:rsidRPr="00A743F7" w:rsidRDefault="003E2A61" w:rsidP="00025447">
            <w:pPr>
              <w:rPr>
                <w:color w:val="000000"/>
                <w:sz w:val="22"/>
                <w:szCs w:val="22"/>
              </w:rPr>
            </w:pPr>
          </w:p>
        </w:tc>
        <w:tc>
          <w:tcPr>
            <w:tcW w:w="848" w:type="dxa"/>
            <w:tcBorders>
              <w:top w:val="nil"/>
              <w:left w:val="nil"/>
              <w:bottom w:val="nil"/>
              <w:right w:val="nil"/>
            </w:tcBorders>
            <w:vAlign w:val="bottom"/>
          </w:tcPr>
          <w:p w:rsidR="003E2A61" w:rsidRPr="00C51447" w:rsidRDefault="003E2A61" w:rsidP="009C555C">
            <w:pPr>
              <w:jc w:val="both"/>
              <w:rPr>
                <w:color w:val="000000"/>
                <w:sz w:val="22"/>
                <w:szCs w:val="22"/>
              </w:rPr>
            </w:pPr>
            <w:r w:rsidRPr="00C51447">
              <w:rPr>
                <w:color w:val="000000"/>
                <w:sz w:val="22"/>
                <w:szCs w:val="22"/>
              </w:rPr>
              <w:t>Area*</w:t>
            </w:r>
          </w:p>
        </w:tc>
        <w:tc>
          <w:tcPr>
            <w:tcW w:w="235" w:type="dxa"/>
            <w:tcBorders>
              <w:top w:val="nil"/>
              <w:left w:val="nil"/>
              <w:bottom w:val="nil"/>
              <w:right w:val="nil"/>
            </w:tcBorders>
            <w:noWrap/>
            <w:vAlign w:val="bottom"/>
            <w:hideMark/>
          </w:tcPr>
          <w:p w:rsidR="003E2A61" w:rsidRPr="00A743F7" w:rsidRDefault="003E2A61" w:rsidP="00025447">
            <w:pPr>
              <w:rPr>
                <w:color w:val="000000"/>
                <w:sz w:val="22"/>
                <w:szCs w:val="22"/>
              </w:rPr>
            </w:pPr>
          </w:p>
        </w:tc>
        <w:tc>
          <w:tcPr>
            <w:tcW w:w="1216" w:type="dxa"/>
            <w:tcBorders>
              <w:top w:val="nil"/>
              <w:left w:val="nil"/>
              <w:bottom w:val="nil"/>
              <w:right w:val="nil"/>
            </w:tcBorders>
            <w:noWrap/>
            <w:vAlign w:val="bottom"/>
            <w:hideMark/>
          </w:tcPr>
          <w:p w:rsidR="003E2A61" w:rsidRPr="00A743F7" w:rsidRDefault="003E2A61" w:rsidP="00025447">
            <w:pPr>
              <w:rPr>
                <w:color w:val="000000"/>
                <w:sz w:val="22"/>
                <w:szCs w:val="22"/>
              </w:rPr>
            </w:pPr>
          </w:p>
        </w:tc>
        <w:tc>
          <w:tcPr>
            <w:tcW w:w="222" w:type="dxa"/>
            <w:tcBorders>
              <w:top w:val="nil"/>
              <w:left w:val="nil"/>
              <w:bottom w:val="nil"/>
              <w:right w:val="nil"/>
            </w:tcBorders>
            <w:noWrap/>
            <w:vAlign w:val="bottom"/>
            <w:hideMark/>
          </w:tcPr>
          <w:p w:rsidR="003E2A61" w:rsidRPr="00A743F7" w:rsidRDefault="003E2A61" w:rsidP="00025447">
            <w:pPr>
              <w:rPr>
                <w:color w:val="000000"/>
                <w:sz w:val="22"/>
                <w:szCs w:val="22"/>
              </w:rPr>
            </w:pPr>
          </w:p>
        </w:tc>
        <w:tc>
          <w:tcPr>
            <w:tcW w:w="1524" w:type="dxa"/>
            <w:tcBorders>
              <w:top w:val="nil"/>
              <w:left w:val="nil"/>
              <w:bottom w:val="nil"/>
              <w:right w:val="nil"/>
            </w:tcBorders>
            <w:noWrap/>
            <w:vAlign w:val="bottom"/>
            <w:hideMark/>
          </w:tcPr>
          <w:p w:rsidR="003E2A61" w:rsidRPr="00A743F7" w:rsidRDefault="003E2A61" w:rsidP="00025447">
            <w:pPr>
              <w:rPr>
                <w:color w:val="000000"/>
                <w:sz w:val="22"/>
                <w:szCs w:val="22"/>
              </w:rPr>
            </w:pPr>
          </w:p>
        </w:tc>
        <w:tc>
          <w:tcPr>
            <w:tcW w:w="222" w:type="dxa"/>
            <w:tcBorders>
              <w:top w:val="nil"/>
              <w:left w:val="nil"/>
              <w:bottom w:val="nil"/>
              <w:right w:val="nil"/>
            </w:tcBorders>
            <w:noWrap/>
            <w:vAlign w:val="bottom"/>
            <w:hideMark/>
          </w:tcPr>
          <w:p w:rsidR="003E2A61" w:rsidRPr="00A743F7" w:rsidRDefault="003E2A61" w:rsidP="00025447">
            <w:pPr>
              <w:rPr>
                <w:color w:val="000000"/>
                <w:sz w:val="22"/>
                <w:szCs w:val="22"/>
              </w:rPr>
            </w:pPr>
          </w:p>
        </w:tc>
        <w:tc>
          <w:tcPr>
            <w:tcW w:w="1203" w:type="dxa"/>
            <w:tcBorders>
              <w:top w:val="nil"/>
              <w:left w:val="nil"/>
              <w:bottom w:val="nil"/>
              <w:right w:val="nil"/>
            </w:tcBorders>
            <w:noWrap/>
            <w:vAlign w:val="bottom"/>
            <w:hideMark/>
          </w:tcPr>
          <w:p w:rsidR="003E2A61" w:rsidRPr="00A743F7" w:rsidRDefault="003E2A61" w:rsidP="00025447">
            <w:pPr>
              <w:rPr>
                <w:color w:val="000000"/>
                <w:sz w:val="22"/>
                <w:szCs w:val="22"/>
              </w:rPr>
            </w:pPr>
          </w:p>
        </w:tc>
      </w:tr>
      <w:tr w:rsidR="003E2A61" w:rsidRPr="00A743F7" w:rsidTr="003E2A61">
        <w:trPr>
          <w:trHeight w:val="300"/>
        </w:trPr>
        <w:tc>
          <w:tcPr>
            <w:tcW w:w="1738" w:type="dxa"/>
            <w:tcBorders>
              <w:top w:val="nil"/>
              <w:left w:val="nil"/>
              <w:bottom w:val="single" w:sz="4" w:space="0" w:color="auto"/>
              <w:right w:val="nil"/>
            </w:tcBorders>
            <w:noWrap/>
            <w:vAlign w:val="bottom"/>
            <w:hideMark/>
          </w:tcPr>
          <w:p w:rsidR="003E2A61" w:rsidRPr="00A743F7" w:rsidRDefault="003E2A61" w:rsidP="00025447">
            <w:pPr>
              <w:rPr>
                <w:color w:val="000000"/>
                <w:sz w:val="22"/>
                <w:szCs w:val="22"/>
                <w:u w:val="single"/>
              </w:rPr>
            </w:pPr>
            <w:r w:rsidRPr="00A743F7">
              <w:rPr>
                <w:color w:val="000000"/>
                <w:sz w:val="22"/>
                <w:szCs w:val="22"/>
                <w:u w:val="single"/>
              </w:rPr>
              <w:t>Segment</w:t>
            </w:r>
          </w:p>
        </w:tc>
        <w:tc>
          <w:tcPr>
            <w:tcW w:w="222" w:type="dxa"/>
            <w:tcBorders>
              <w:top w:val="nil"/>
              <w:left w:val="nil"/>
              <w:bottom w:val="single" w:sz="4" w:space="0" w:color="auto"/>
              <w:right w:val="nil"/>
            </w:tcBorders>
            <w:noWrap/>
            <w:vAlign w:val="bottom"/>
            <w:hideMark/>
          </w:tcPr>
          <w:p w:rsidR="003E2A61" w:rsidRPr="00A743F7" w:rsidRDefault="003E2A61" w:rsidP="00025447">
            <w:pPr>
              <w:rPr>
                <w:color w:val="000000"/>
                <w:sz w:val="22"/>
                <w:szCs w:val="22"/>
              </w:rPr>
            </w:pPr>
          </w:p>
        </w:tc>
        <w:tc>
          <w:tcPr>
            <w:tcW w:w="848" w:type="dxa"/>
            <w:tcBorders>
              <w:top w:val="nil"/>
              <w:left w:val="nil"/>
              <w:bottom w:val="single" w:sz="4" w:space="0" w:color="auto"/>
              <w:right w:val="nil"/>
            </w:tcBorders>
            <w:vAlign w:val="bottom"/>
          </w:tcPr>
          <w:p w:rsidR="003E2A61" w:rsidRPr="00C51447" w:rsidRDefault="003E2A61" w:rsidP="009C555C">
            <w:pPr>
              <w:jc w:val="both"/>
              <w:rPr>
                <w:color w:val="000000"/>
                <w:sz w:val="22"/>
                <w:szCs w:val="22"/>
              </w:rPr>
            </w:pPr>
            <w:r w:rsidRPr="00C51447">
              <w:rPr>
                <w:color w:val="000000"/>
                <w:sz w:val="22"/>
                <w:szCs w:val="22"/>
              </w:rPr>
              <w:t>(miles)</w:t>
            </w:r>
          </w:p>
        </w:tc>
        <w:tc>
          <w:tcPr>
            <w:tcW w:w="235" w:type="dxa"/>
            <w:tcBorders>
              <w:top w:val="nil"/>
              <w:left w:val="nil"/>
              <w:bottom w:val="single" w:sz="4" w:space="0" w:color="auto"/>
              <w:right w:val="nil"/>
            </w:tcBorders>
            <w:noWrap/>
            <w:vAlign w:val="bottom"/>
            <w:hideMark/>
          </w:tcPr>
          <w:p w:rsidR="003E2A61" w:rsidRPr="00A743F7" w:rsidRDefault="003E2A61" w:rsidP="00025447">
            <w:pPr>
              <w:rPr>
                <w:color w:val="000000"/>
                <w:sz w:val="22"/>
                <w:szCs w:val="22"/>
              </w:rPr>
            </w:pPr>
          </w:p>
        </w:tc>
        <w:tc>
          <w:tcPr>
            <w:tcW w:w="1216" w:type="dxa"/>
            <w:tcBorders>
              <w:top w:val="nil"/>
              <w:left w:val="nil"/>
              <w:bottom w:val="single" w:sz="4" w:space="0" w:color="auto"/>
              <w:right w:val="nil"/>
            </w:tcBorders>
            <w:noWrap/>
            <w:vAlign w:val="bottom"/>
            <w:hideMark/>
          </w:tcPr>
          <w:p w:rsidR="003E2A61" w:rsidRPr="00A743F7" w:rsidRDefault="003E2A61" w:rsidP="00025447">
            <w:pPr>
              <w:rPr>
                <w:color w:val="000000"/>
                <w:sz w:val="22"/>
                <w:szCs w:val="22"/>
                <w:u w:val="single"/>
              </w:rPr>
            </w:pPr>
            <w:r w:rsidRPr="00A743F7">
              <w:rPr>
                <w:color w:val="000000"/>
                <w:sz w:val="22"/>
                <w:szCs w:val="22"/>
                <w:u w:val="single"/>
              </w:rPr>
              <w:t>Civil</w:t>
            </w:r>
          </w:p>
        </w:tc>
        <w:tc>
          <w:tcPr>
            <w:tcW w:w="222" w:type="dxa"/>
            <w:tcBorders>
              <w:top w:val="nil"/>
              <w:left w:val="nil"/>
              <w:bottom w:val="single" w:sz="4" w:space="0" w:color="auto"/>
              <w:right w:val="nil"/>
            </w:tcBorders>
            <w:noWrap/>
            <w:vAlign w:val="bottom"/>
            <w:hideMark/>
          </w:tcPr>
          <w:p w:rsidR="003E2A61" w:rsidRPr="00A743F7" w:rsidRDefault="003E2A61" w:rsidP="00025447">
            <w:pPr>
              <w:rPr>
                <w:color w:val="000000"/>
                <w:sz w:val="22"/>
                <w:szCs w:val="22"/>
                <w:u w:val="single"/>
              </w:rPr>
            </w:pPr>
          </w:p>
        </w:tc>
        <w:tc>
          <w:tcPr>
            <w:tcW w:w="1524" w:type="dxa"/>
            <w:tcBorders>
              <w:top w:val="nil"/>
              <w:left w:val="nil"/>
              <w:bottom w:val="single" w:sz="4" w:space="0" w:color="auto"/>
              <w:right w:val="nil"/>
            </w:tcBorders>
            <w:noWrap/>
            <w:vAlign w:val="bottom"/>
            <w:hideMark/>
          </w:tcPr>
          <w:p w:rsidR="003E2A61" w:rsidRPr="00A743F7" w:rsidRDefault="003E2A61" w:rsidP="00025447">
            <w:pPr>
              <w:rPr>
                <w:color w:val="000000"/>
                <w:sz w:val="22"/>
                <w:szCs w:val="22"/>
                <w:u w:val="single"/>
              </w:rPr>
            </w:pPr>
            <w:r w:rsidRPr="00A743F7">
              <w:rPr>
                <w:color w:val="000000"/>
                <w:sz w:val="22"/>
                <w:szCs w:val="22"/>
                <w:u w:val="single"/>
              </w:rPr>
              <w:t>Environmental</w:t>
            </w:r>
          </w:p>
        </w:tc>
        <w:tc>
          <w:tcPr>
            <w:tcW w:w="222" w:type="dxa"/>
            <w:tcBorders>
              <w:top w:val="nil"/>
              <w:left w:val="nil"/>
              <w:bottom w:val="single" w:sz="4" w:space="0" w:color="auto"/>
              <w:right w:val="nil"/>
            </w:tcBorders>
            <w:noWrap/>
            <w:vAlign w:val="bottom"/>
            <w:hideMark/>
          </w:tcPr>
          <w:p w:rsidR="003E2A61" w:rsidRPr="00A743F7" w:rsidRDefault="003E2A61" w:rsidP="00025447">
            <w:pPr>
              <w:rPr>
                <w:color w:val="000000"/>
                <w:sz w:val="22"/>
                <w:szCs w:val="22"/>
                <w:u w:val="single"/>
              </w:rPr>
            </w:pPr>
          </w:p>
        </w:tc>
        <w:tc>
          <w:tcPr>
            <w:tcW w:w="1203" w:type="dxa"/>
            <w:tcBorders>
              <w:top w:val="nil"/>
              <w:left w:val="nil"/>
              <w:bottom w:val="single" w:sz="4" w:space="0" w:color="auto"/>
              <w:right w:val="nil"/>
            </w:tcBorders>
            <w:noWrap/>
            <w:vAlign w:val="bottom"/>
            <w:hideMark/>
          </w:tcPr>
          <w:p w:rsidR="003E2A61" w:rsidRPr="00A743F7" w:rsidRDefault="003E2A61" w:rsidP="00025447">
            <w:pPr>
              <w:rPr>
                <w:color w:val="000000"/>
                <w:sz w:val="22"/>
                <w:szCs w:val="22"/>
                <w:u w:val="single"/>
              </w:rPr>
            </w:pPr>
            <w:r w:rsidRPr="00A743F7">
              <w:rPr>
                <w:color w:val="000000"/>
                <w:sz w:val="22"/>
                <w:szCs w:val="22"/>
                <w:u w:val="single"/>
              </w:rPr>
              <w:t>Cultural</w:t>
            </w:r>
          </w:p>
        </w:tc>
      </w:tr>
      <w:tr w:rsidR="00A17661" w:rsidRPr="00A743F7" w:rsidTr="003E2A61">
        <w:trPr>
          <w:trHeight w:val="300"/>
        </w:trPr>
        <w:tc>
          <w:tcPr>
            <w:tcW w:w="1738" w:type="dxa"/>
            <w:tcBorders>
              <w:top w:val="single" w:sz="4" w:space="0" w:color="auto"/>
              <w:left w:val="single" w:sz="4" w:space="0" w:color="auto"/>
              <w:bottom w:val="single" w:sz="4" w:space="0" w:color="auto"/>
              <w:right w:val="single" w:sz="4" w:space="0" w:color="auto"/>
            </w:tcBorders>
            <w:noWrap/>
            <w:vAlign w:val="bottom"/>
            <w:hideMark/>
          </w:tcPr>
          <w:p w:rsidR="00A17661" w:rsidRDefault="00A17661" w:rsidP="009C555C">
            <w:pPr>
              <w:rPr>
                <w:color w:val="000000"/>
                <w:sz w:val="22"/>
                <w:szCs w:val="22"/>
              </w:rPr>
            </w:pPr>
            <w:r w:rsidRPr="00C51447">
              <w:rPr>
                <w:color w:val="000000"/>
                <w:sz w:val="22"/>
                <w:szCs w:val="22"/>
              </w:rPr>
              <w:t>NED Project</w:t>
            </w:r>
          </w:p>
          <w:p w:rsidR="00A17661" w:rsidRPr="00C51447" w:rsidRDefault="00A17661" w:rsidP="009C555C">
            <w:pPr>
              <w:rPr>
                <w:color w:val="000000"/>
                <w:sz w:val="22"/>
                <w:szCs w:val="22"/>
              </w:rPr>
            </w:pPr>
            <w:r w:rsidRPr="00C51447">
              <w:rPr>
                <w:color w:val="000000"/>
                <w:sz w:val="22"/>
                <w:szCs w:val="22"/>
              </w:rPr>
              <w:t>(Supply Path)</w:t>
            </w:r>
          </w:p>
        </w:tc>
        <w:tc>
          <w:tcPr>
            <w:tcW w:w="222" w:type="dxa"/>
            <w:tcBorders>
              <w:top w:val="single" w:sz="4" w:space="0" w:color="auto"/>
              <w:left w:val="single" w:sz="4" w:space="0" w:color="auto"/>
              <w:bottom w:val="single" w:sz="4" w:space="0" w:color="auto"/>
              <w:right w:val="single" w:sz="4" w:space="0" w:color="auto"/>
            </w:tcBorders>
            <w:noWrap/>
            <w:vAlign w:val="bottom"/>
            <w:hideMark/>
          </w:tcPr>
          <w:p w:rsidR="00A17661" w:rsidRPr="00A743F7" w:rsidRDefault="00A17661" w:rsidP="00025447">
            <w:pPr>
              <w:rPr>
                <w:color w:val="000000"/>
                <w:sz w:val="22"/>
                <w:szCs w:val="22"/>
              </w:rPr>
            </w:pPr>
          </w:p>
        </w:tc>
        <w:tc>
          <w:tcPr>
            <w:tcW w:w="848" w:type="dxa"/>
            <w:tcBorders>
              <w:top w:val="single" w:sz="4" w:space="0" w:color="auto"/>
              <w:left w:val="single" w:sz="4" w:space="0" w:color="auto"/>
              <w:bottom w:val="single" w:sz="4" w:space="0" w:color="auto"/>
              <w:right w:val="single" w:sz="4" w:space="0" w:color="auto"/>
            </w:tcBorders>
            <w:vAlign w:val="bottom"/>
          </w:tcPr>
          <w:p w:rsidR="00A17661" w:rsidRPr="00137065" w:rsidRDefault="00A17661" w:rsidP="00053CD6">
            <w:pPr>
              <w:jc w:val="center"/>
              <w:rPr>
                <w:color w:val="000000"/>
                <w:sz w:val="22"/>
                <w:szCs w:val="22"/>
              </w:rPr>
            </w:pPr>
            <w:r w:rsidRPr="00137065">
              <w:rPr>
                <w:color w:val="000000"/>
                <w:sz w:val="22"/>
                <w:szCs w:val="22"/>
              </w:rPr>
              <w:t>1</w:t>
            </w:r>
            <w:r>
              <w:rPr>
                <w:color w:val="000000"/>
                <w:sz w:val="22"/>
                <w:szCs w:val="22"/>
              </w:rPr>
              <w:t>71</w:t>
            </w:r>
          </w:p>
        </w:tc>
        <w:tc>
          <w:tcPr>
            <w:tcW w:w="235" w:type="dxa"/>
            <w:tcBorders>
              <w:top w:val="single" w:sz="4" w:space="0" w:color="auto"/>
              <w:left w:val="single" w:sz="4" w:space="0" w:color="auto"/>
              <w:bottom w:val="single" w:sz="4" w:space="0" w:color="auto"/>
              <w:right w:val="single" w:sz="4" w:space="0" w:color="auto"/>
            </w:tcBorders>
            <w:noWrap/>
            <w:vAlign w:val="bottom"/>
            <w:hideMark/>
          </w:tcPr>
          <w:p w:rsidR="00A17661" w:rsidRPr="00137065" w:rsidRDefault="00A17661" w:rsidP="00053CD6">
            <w:pPr>
              <w:rPr>
                <w:color w:val="000000"/>
                <w:sz w:val="22"/>
                <w:szCs w:val="22"/>
              </w:rPr>
            </w:pPr>
          </w:p>
        </w:tc>
        <w:tc>
          <w:tcPr>
            <w:tcW w:w="1216" w:type="dxa"/>
            <w:tcBorders>
              <w:top w:val="single" w:sz="4" w:space="0" w:color="auto"/>
              <w:left w:val="single" w:sz="4" w:space="0" w:color="auto"/>
              <w:bottom w:val="single" w:sz="4" w:space="0" w:color="auto"/>
              <w:right w:val="single" w:sz="4" w:space="0" w:color="auto"/>
            </w:tcBorders>
            <w:noWrap/>
            <w:vAlign w:val="bottom"/>
            <w:hideMark/>
          </w:tcPr>
          <w:p w:rsidR="00A17661" w:rsidRDefault="00A17661" w:rsidP="00053CD6">
            <w:pPr>
              <w:jc w:val="center"/>
              <w:rPr>
                <w:color w:val="000000"/>
                <w:sz w:val="22"/>
                <w:szCs w:val="22"/>
              </w:rPr>
            </w:pPr>
            <w:r>
              <w:rPr>
                <w:color w:val="000000"/>
                <w:sz w:val="22"/>
                <w:szCs w:val="22"/>
              </w:rPr>
              <w:t>S: 95.3</w:t>
            </w:r>
          </w:p>
          <w:p w:rsidR="00A17661" w:rsidRPr="00137065" w:rsidRDefault="00A17661" w:rsidP="00053CD6">
            <w:pPr>
              <w:jc w:val="center"/>
              <w:rPr>
                <w:color w:val="000000"/>
                <w:sz w:val="22"/>
                <w:szCs w:val="22"/>
              </w:rPr>
            </w:pPr>
            <w:r>
              <w:rPr>
                <w:color w:val="000000"/>
                <w:sz w:val="22"/>
                <w:szCs w:val="22"/>
              </w:rPr>
              <w:t>D: 86.4</w:t>
            </w:r>
          </w:p>
        </w:tc>
        <w:tc>
          <w:tcPr>
            <w:tcW w:w="222" w:type="dxa"/>
            <w:tcBorders>
              <w:top w:val="single" w:sz="4" w:space="0" w:color="auto"/>
              <w:left w:val="single" w:sz="4" w:space="0" w:color="auto"/>
              <w:bottom w:val="single" w:sz="4" w:space="0" w:color="auto"/>
              <w:right w:val="single" w:sz="4" w:space="0" w:color="auto"/>
            </w:tcBorders>
            <w:noWrap/>
            <w:vAlign w:val="bottom"/>
            <w:hideMark/>
          </w:tcPr>
          <w:p w:rsidR="00A17661" w:rsidRPr="00137065" w:rsidRDefault="00A17661" w:rsidP="00053CD6">
            <w:pPr>
              <w:jc w:val="center"/>
              <w:rPr>
                <w:color w:val="000000"/>
                <w:sz w:val="22"/>
                <w:szCs w:val="22"/>
              </w:rPr>
            </w:pPr>
          </w:p>
        </w:tc>
        <w:tc>
          <w:tcPr>
            <w:tcW w:w="1524" w:type="dxa"/>
            <w:tcBorders>
              <w:top w:val="single" w:sz="4" w:space="0" w:color="auto"/>
              <w:left w:val="single" w:sz="4" w:space="0" w:color="auto"/>
              <w:bottom w:val="single" w:sz="4" w:space="0" w:color="auto"/>
              <w:right w:val="single" w:sz="4" w:space="0" w:color="auto"/>
            </w:tcBorders>
            <w:noWrap/>
            <w:vAlign w:val="bottom"/>
            <w:hideMark/>
          </w:tcPr>
          <w:p w:rsidR="00A17661" w:rsidRPr="00137065" w:rsidRDefault="00A17661" w:rsidP="00053CD6">
            <w:pPr>
              <w:jc w:val="center"/>
              <w:rPr>
                <w:color w:val="000000"/>
                <w:sz w:val="22"/>
                <w:szCs w:val="22"/>
              </w:rPr>
            </w:pPr>
            <w:r>
              <w:rPr>
                <w:color w:val="000000"/>
                <w:sz w:val="22"/>
                <w:szCs w:val="22"/>
              </w:rPr>
              <w:t>48.46</w:t>
            </w:r>
          </w:p>
        </w:tc>
        <w:tc>
          <w:tcPr>
            <w:tcW w:w="222" w:type="dxa"/>
            <w:tcBorders>
              <w:top w:val="single" w:sz="4" w:space="0" w:color="auto"/>
              <w:left w:val="single" w:sz="4" w:space="0" w:color="auto"/>
              <w:bottom w:val="single" w:sz="4" w:space="0" w:color="auto"/>
              <w:right w:val="single" w:sz="4" w:space="0" w:color="auto"/>
            </w:tcBorders>
            <w:noWrap/>
            <w:vAlign w:val="bottom"/>
            <w:hideMark/>
          </w:tcPr>
          <w:p w:rsidR="00A17661" w:rsidRPr="00137065" w:rsidRDefault="00A17661" w:rsidP="00053CD6">
            <w:pPr>
              <w:jc w:val="center"/>
              <w:rPr>
                <w:color w:val="000000"/>
                <w:sz w:val="22"/>
                <w:szCs w:val="22"/>
              </w:rPr>
            </w:pPr>
          </w:p>
        </w:tc>
        <w:tc>
          <w:tcPr>
            <w:tcW w:w="1203" w:type="dxa"/>
            <w:tcBorders>
              <w:top w:val="single" w:sz="4" w:space="0" w:color="auto"/>
              <w:left w:val="single" w:sz="4" w:space="0" w:color="auto"/>
              <w:bottom w:val="single" w:sz="4" w:space="0" w:color="auto"/>
              <w:right w:val="single" w:sz="4" w:space="0" w:color="auto"/>
            </w:tcBorders>
            <w:noWrap/>
            <w:vAlign w:val="bottom"/>
            <w:hideMark/>
          </w:tcPr>
          <w:p w:rsidR="00A17661" w:rsidRPr="00137065" w:rsidRDefault="00A17661" w:rsidP="00053CD6">
            <w:pPr>
              <w:jc w:val="center"/>
              <w:rPr>
                <w:color w:val="000000"/>
                <w:sz w:val="22"/>
                <w:szCs w:val="22"/>
              </w:rPr>
            </w:pPr>
            <w:r>
              <w:rPr>
                <w:color w:val="000000"/>
                <w:sz w:val="22"/>
                <w:szCs w:val="22"/>
              </w:rPr>
              <w:t>80.34</w:t>
            </w:r>
          </w:p>
        </w:tc>
      </w:tr>
      <w:tr w:rsidR="00A17661" w:rsidRPr="00A743F7" w:rsidTr="003E2A61">
        <w:trPr>
          <w:trHeight w:val="300"/>
        </w:trPr>
        <w:tc>
          <w:tcPr>
            <w:tcW w:w="1738" w:type="dxa"/>
            <w:tcBorders>
              <w:top w:val="single" w:sz="4" w:space="0" w:color="auto"/>
              <w:left w:val="single" w:sz="4" w:space="0" w:color="auto"/>
              <w:bottom w:val="single" w:sz="4" w:space="0" w:color="auto"/>
              <w:right w:val="single" w:sz="4" w:space="0" w:color="auto"/>
            </w:tcBorders>
            <w:noWrap/>
            <w:vAlign w:val="bottom"/>
          </w:tcPr>
          <w:p w:rsidR="00A17661" w:rsidRPr="00C51447" w:rsidRDefault="00A17661" w:rsidP="009C555C">
            <w:pPr>
              <w:jc w:val="both"/>
              <w:rPr>
                <w:color w:val="000000"/>
                <w:sz w:val="22"/>
                <w:szCs w:val="22"/>
              </w:rPr>
            </w:pPr>
            <w:r w:rsidRPr="00C51447">
              <w:rPr>
                <w:color w:val="000000"/>
                <w:sz w:val="22"/>
                <w:szCs w:val="22"/>
              </w:rPr>
              <w:t>NED Project</w:t>
            </w:r>
          </w:p>
          <w:p w:rsidR="00A17661" w:rsidRPr="00C51447" w:rsidRDefault="00A17661" w:rsidP="009C555C">
            <w:pPr>
              <w:jc w:val="both"/>
              <w:rPr>
                <w:color w:val="000000"/>
                <w:sz w:val="22"/>
                <w:szCs w:val="22"/>
              </w:rPr>
            </w:pPr>
            <w:r w:rsidRPr="00C51447">
              <w:rPr>
                <w:color w:val="000000"/>
                <w:sz w:val="22"/>
                <w:szCs w:val="22"/>
              </w:rPr>
              <w:t>(Market Path)</w:t>
            </w:r>
          </w:p>
        </w:tc>
        <w:tc>
          <w:tcPr>
            <w:tcW w:w="222" w:type="dxa"/>
            <w:tcBorders>
              <w:top w:val="single" w:sz="4" w:space="0" w:color="auto"/>
              <w:left w:val="single" w:sz="4" w:space="0" w:color="auto"/>
              <w:bottom w:val="single" w:sz="4" w:space="0" w:color="auto"/>
              <w:right w:val="single" w:sz="4" w:space="0" w:color="auto"/>
            </w:tcBorders>
            <w:noWrap/>
            <w:vAlign w:val="bottom"/>
          </w:tcPr>
          <w:p w:rsidR="00A17661" w:rsidRPr="00A743F7" w:rsidRDefault="00A17661" w:rsidP="00025447">
            <w:pPr>
              <w:rPr>
                <w:color w:val="000000"/>
                <w:sz w:val="22"/>
                <w:szCs w:val="22"/>
              </w:rPr>
            </w:pPr>
          </w:p>
        </w:tc>
        <w:tc>
          <w:tcPr>
            <w:tcW w:w="848" w:type="dxa"/>
            <w:tcBorders>
              <w:top w:val="single" w:sz="4" w:space="0" w:color="auto"/>
              <w:left w:val="single" w:sz="4" w:space="0" w:color="auto"/>
              <w:bottom w:val="single" w:sz="4" w:space="0" w:color="auto"/>
              <w:right w:val="single" w:sz="4" w:space="0" w:color="auto"/>
            </w:tcBorders>
            <w:vAlign w:val="bottom"/>
          </w:tcPr>
          <w:p w:rsidR="00A17661" w:rsidRPr="00137065" w:rsidRDefault="00A17661" w:rsidP="00053CD6">
            <w:pPr>
              <w:jc w:val="center"/>
              <w:rPr>
                <w:color w:val="000000"/>
                <w:sz w:val="22"/>
                <w:szCs w:val="22"/>
              </w:rPr>
            </w:pPr>
            <w:r w:rsidRPr="00137065">
              <w:rPr>
                <w:color w:val="000000"/>
                <w:sz w:val="22"/>
                <w:szCs w:val="22"/>
              </w:rPr>
              <w:t>24</w:t>
            </w:r>
            <w:r>
              <w:rPr>
                <w:color w:val="000000"/>
                <w:sz w:val="22"/>
                <w:szCs w:val="22"/>
              </w:rPr>
              <w:t>8</w:t>
            </w:r>
          </w:p>
        </w:tc>
        <w:tc>
          <w:tcPr>
            <w:tcW w:w="235" w:type="dxa"/>
            <w:tcBorders>
              <w:top w:val="single" w:sz="4" w:space="0" w:color="auto"/>
              <w:left w:val="single" w:sz="4" w:space="0" w:color="auto"/>
              <w:bottom w:val="single" w:sz="4" w:space="0" w:color="auto"/>
              <w:right w:val="single" w:sz="4" w:space="0" w:color="auto"/>
            </w:tcBorders>
            <w:noWrap/>
            <w:vAlign w:val="bottom"/>
          </w:tcPr>
          <w:p w:rsidR="00A17661" w:rsidRPr="00137065" w:rsidRDefault="00A17661" w:rsidP="00053CD6">
            <w:pPr>
              <w:rPr>
                <w:color w:val="000000"/>
                <w:sz w:val="22"/>
                <w:szCs w:val="22"/>
              </w:rPr>
            </w:pPr>
          </w:p>
        </w:tc>
        <w:tc>
          <w:tcPr>
            <w:tcW w:w="1216" w:type="dxa"/>
            <w:tcBorders>
              <w:top w:val="single" w:sz="4" w:space="0" w:color="auto"/>
              <w:left w:val="single" w:sz="4" w:space="0" w:color="auto"/>
              <w:bottom w:val="single" w:sz="4" w:space="0" w:color="auto"/>
              <w:right w:val="single" w:sz="4" w:space="0" w:color="auto"/>
            </w:tcBorders>
            <w:noWrap/>
            <w:vAlign w:val="bottom"/>
          </w:tcPr>
          <w:p w:rsidR="00A17661" w:rsidRDefault="00A17661" w:rsidP="00053CD6">
            <w:pPr>
              <w:jc w:val="center"/>
              <w:rPr>
                <w:color w:val="000000"/>
                <w:sz w:val="22"/>
                <w:szCs w:val="22"/>
              </w:rPr>
            </w:pPr>
            <w:r>
              <w:rPr>
                <w:color w:val="000000"/>
                <w:sz w:val="22"/>
                <w:szCs w:val="22"/>
              </w:rPr>
              <w:t>S: 39.9</w:t>
            </w:r>
          </w:p>
          <w:p w:rsidR="00A17661" w:rsidRPr="00137065" w:rsidRDefault="00A17661" w:rsidP="00053CD6">
            <w:pPr>
              <w:jc w:val="center"/>
              <w:rPr>
                <w:color w:val="000000"/>
                <w:sz w:val="22"/>
                <w:szCs w:val="22"/>
              </w:rPr>
            </w:pPr>
            <w:r>
              <w:rPr>
                <w:color w:val="000000"/>
                <w:sz w:val="22"/>
                <w:szCs w:val="22"/>
              </w:rPr>
              <w:t>D: 30.8</w:t>
            </w:r>
          </w:p>
        </w:tc>
        <w:tc>
          <w:tcPr>
            <w:tcW w:w="222" w:type="dxa"/>
            <w:tcBorders>
              <w:top w:val="single" w:sz="4" w:space="0" w:color="auto"/>
              <w:left w:val="single" w:sz="4" w:space="0" w:color="auto"/>
              <w:bottom w:val="single" w:sz="4" w:space="0" w:color="auto"/>
              <w:right w:val="single" w:sz="4" w:space="0" w:color="auto"/>
            </w:tcBorders>
            <w:noWrap/>
            <w:vAlign w:val="bottom"/>
          </w:tcPr>
          <w:p w:rsidR="00A17661" w:rsidRPr="00137065" w:rsidRDefault="00A17661" w:rsidP="00053CD6">
            <w:pPr>
              <w:jc w:val="center"/>
              <w:rPr>
                <w:color w:val="000000"/>
                <w:sz w:val="22"/>
                <w:szCs w:val="22"/>
              </w:rPr>
            </w:pPr>
          </w:p>
        </w:tc>
        <w:tc>
          <w:tcPr>
            <w:tcW w:w="1524" w:type="dxa"/>
            <w:tcBorders>
              <w:top w:val="single" w:sz="4" w:space="0" w:color="auto"/>
              <w:left w:val="single" w:sz="4" w:space="0" w:color="auto"/>
              <w:bottom w:val="single" w:sz="4" w:space="0" w:color="auto"/>
              <w:right w:val="single" w:sz="4" w:space="0" w:color="auto"/>
            </w:tcBorders>
            <w:noWrap/>
            <w:vAlign w:val="bottom"/>
          </w:tcPr>
          <w:p w:rsidR="00A17661" w:rsidRPr="00137065" w:rsidRDefault="00A17661" w:rsidP="00053CD6">
            <w:pPr>
              <w:jc w:val="center"/>
              <w:rPr>
                <w:color w:val="000000"/>
                <w:sz w:val="22"/>
                <w:szCs w:val="22"/>
              </w:rPr>
            </w:pPr>
            <w:r>
              <w:rPr>
                <w:color w:val="000000"/>
                <w:sz w:val="22"/>
                <w:szCs w:val="22"/>
              </w:rPr>
              <w:t>60.69</w:t>
            </w:r>
          </w:p>
        </w:tc>
        <w:tc>
          <w:tcPr>
            <w:tcW w:w="222" w:type="dxa"/>
            <w:tcBorders>
              <w:top w:val="single" w:sz="4" w:space="0" w:color="auto"/>
              <w:left w:val="single" w:sz="4" w:space="0" w:color="auto"/>
              <w:bottom w:val="single" w:sz="4" w:space="0" w:color="auto"/>
              <w:right w:val="single" w:sz="4" w:space="0" w:color="auto"/>
            </w:tcBorders>
            <w:noWrap/>
            <w:vAlign w:val="bottom"/>
          </w:tcPr>
          <w:p w:rsidR="00A17661" w:rsidRPr="00137065" w:rsidRDefault="00A17661" w:rsidP="00053CD6">
            <w:pPr>
              <w:jc w:val="center"/>
              <w:rPr>
                <w:color w:val="000000"/>
                <w:sz w:val="22"/>
                <w:szCs w:val="22"/>
              </w:rPr>
            </w:pPr>
          </w:p>
        </w:tc>
        <w:tc>
          <w:tcPr>
            <w:tcW w:w="1203" w:type="dxa"/>
            <w:tcBorders>
              <w:top w:val="single" w:sz="4" w:space="0" w:color="auto"/>
              <w:left w:val="single" w:sz="4" w:space="0" w:color="auto"/>
              <w:bottom w:val="single" w:sz="4" w:space="0" w:color="auto"/>
              <w:right w:val="single" w:sz="4" w:space="0" w:color="auto"/>
            </w:tcBorders>
            <w:noWrap/>
            <w:vAlign w:val="bottom"/>
          </w:tcPr>
          <w:p w:rsidR="00A17661" w:rsidRPr="00137065" w:rsidRDefault="00A17661" w:rsidP="00053CD6">
            <w:pPr>
              <w:jc w:val="center"/>
              <w:rPr>
                <w:color w:val="000000"/>
                <w:sz w:val="22"/>
                <w:szCs w:val="22"/>
              </w:rPr>
            </w:pPr>
            <w:r>
              <w:rPr>
                <w:color w:val="000000"/>
                <w:sz w:val="22"/>
                <w:szCs w:val="22"/>
              </w:rPr>
              <w:t>32.65</w:t>
            </w:r>
          </w:p>
        </w:tc>
      </w:tr>
      <w:tr w:rsidR="00A17661" w:rsidRPr="00A743F7" w:rsidTr="005C2423">
        <w:trPr>
          <w:trHeight w:val="300"/>
        </w:trPr>
        <w:tc>
          <w:tcPr>
            <w:tcW w:w="1738" w:type="dxa"/>
            <w:tcBorders>
              <w:top w:val="single" w:sz="4" w:space="0" w:color="auto"/>
              <w:left w:val="single" w:sz="4" w:space="0" w:color="auto"/>
              <w:bottom w:val="single" w:sz="4" w:space="0" w:color="auto"/>
              <w:right w:val="single" w:sz="4" w:space="0" w:color="auto"/>
            </w:tcBorders>
            <w:noWrap/>
            <w:vAlign w:val="bottom"/>
            <w:hideMark/>
          </w:tcPr>
          <w:p w:rsidR="00A17661" w:rsidRPr="00A743F7" w:rsidRDefault="00A17661" w:rsidP="00025447">
            <w:pPr>
              <w:rPr>
                <w:b/>
                <w:sz w:val="22"/>
                <w:szCs w:val="22"/>
              </w:rPr>
            </w:pPr>
            <w:r w:rsidRPr="00A743F7">
              <w:rPr>
                <w:b/>
                <w:sz w:val="22"/>
                <w:szCs w:val="22"/>
              </w:rPr>
              <w:t>% Complete</w:t>
            </w:r>
          </w:p>
        </w:tc>
        <w:tc>
          <w:tcPr>
            <w:tcW w:w="222" w:type="dxa"/>
            <w:tcBorders>
              <w:top w:val="single" w:sz="4" w:space="0" w:color="auto"/>
              <w:left w:val="single" w:sz="4" w:space="0" w:color="auto"/>
              <w:bottom w:val="single" w:sz="4" w:space="0" w:color="auto"/>
              <w:right w:val="single" w:sz="4" w:space="0" w:color="auto"/>
            </w:tcBorders>
            <w:noWrap/>
            <w:vAlign w:val="bottom"/>
            <w:hideMark/>
          </w:tcPr>
          <w:p w:rsidR="00A17661" w:rsidRPr="00A743F7" w:rsidRDefault="00A17661" w:rsidP="00025447">
            <w:pPr>
              <w:rPr>
                <w:b/>
                <w:sz w:val="22"/>
                <w:szCs w:val="22"/>
              </w:rPr>
            </w:pPr>
          </w:p>
        </w:tc>
        <w:tc>
          <w:tcPr>
            <w:tcW w:w="848" w:type="dxa"/>
            <w:tcBorders>
              <w:top w:val="single" w:sz="4" w:space="0" w:color="auto"/>
              <w:left w:val="single" w:sz="4" w:space="0" w:color="auto"/>
              <w:bottom w:val="single" w:sz="4" w:space="0" w:color="auto"/>
              <w:right w:val="single" w:sz="4" w:space="0" w:color="auto"/>
            </w:tcBorders>
            <w:vAlign w:val="bottom"/>
          </w:tcPr>
          <w:p w:rsidR="00A17661" w:rsidRPr="00137065" w:rsidRDefault="00A17661" w:rsidP="00053CD6">
            <w:pPr>
              <w:jc w:val="center"/>
              <w:rPr>
                <w:b/>
                <w:sz w:val="22"/>
                <w:szCs w:val="22"/>
              </w:rPr>
            </w:pPr>
          </w:p>
        </w:tc>
        <w:tc>
          <w:tcPr>
            <w:tcW w:w="235" w:type="dxa"/>
            <w:tcBorders>
              <w:top w:val="single" w:sz="4" w:space="0" w:color="auto"/>
              <w:left w:val="single" w:sz="4" w:space="0" w:color="auto"/>
              <w:bottom w:val="single" w:sz="4" w:space="0" w:color="auto"/>
              <w:right w:val="single" w:sz="4" w:space="0" w:color="auto"/>
            </w:tcBorders>
            <w:noWrap/>
            <w:vAlign w:val="bottom"/>
            <w:hideMark/>
          </w:tcPr>
          <w:p w:rsidR="00A17661" w:rsidRPr="00137065" w:rsidRDefault="00A17661" w:rsidP="00053CD6">
            <w:pPr>
              <w:jc w:val="center"/>
              <w:rPr>
                <w:b/>
                <w:sz w:val="22"/>
                <w:szCs w:val="22"/>
              </w:rPr>
            </w:pPr>
          </w:p>
        </w:tc>
        <w:tc>
          <w:tcPr>
            <w:tcW w:w="1216" w:type="dxa"/>
            <w:tcBorders>
              <w:top w:val="single" w:sz="4" w:space="0" w:color="auto"/>
              <w:left w:val="single" w:sz="4" w:space="0" w:color="auto"/>
              <w:bottom w:val="single" w:sz="4" w:space="0" w:color="auto"/>
              <w:right w:val="single" w:sz="4" w:space="0" w:color="auto"/>
            </w:tcBorders>
            <w:noWrap/>
            <w:vAlign w:val="bottom"/>
          </w:tcPr>
          <w:p w:rsidR="00A17661" w:rsidRDefault="00A17661" w:rsidP="00053CD6">
            <w:pPr>
              <w:jc w:val="center"/>
              <w:rPr>
                <w:b/>
                <w:sz w:val="22"/>
                <w:szCs w:val="22"/>
              </w:rPr>
            </w:pPr>
            <w:r>
              <w:rPr>
                <w:b/>
                <w:sz w:val="22"/>
                <w:szCs w:val="22"/>
              </w:rPr>
              <w:t>S: 32%</w:t>
            </w:r>
          </w:p>
          <w:p w:rsidR="00A17661" w:rsidRPr="00137065" w:rsidRDefault="00A17661" w:rsidP="00053CD6">
            <w:pPr>
              <w:jc w:val="center"/>
              <w:rPr>
                <w:b/>
                <w:sz w:val="22"/>
                <w:szCs w:val="22"/>
              </w:rPr>
            </w:pPr>
            <w:r>
              <w:rPr>
                <w:b/>
                <w:sz w:val="22"/>
                <w:szCs w:val="22"/>
              </w:rPr>
              <w:t>D: 28%</w:t>
            </w:r>
          </w:p>
        </w:tc>
        <w:tc>
          <w:tcPr>
            <w:tcW w:w="222" w:type="dxa"/>
            <w:tcBorders>
              <w:top w:val="single" w:sz="4" w:space="0" w:color="auto"/>
              <w:left w:val="single" w:sz="4" w:space="0" w:color="auto"/>
              <w:bottom w:val="single" w:sz="4" w:space="0" w:color="auto"/>
              <w:right w:val="single" w:sz="4" w:space="0" w:color="auto"/>
            </w:tcBorders>
            <w:noWrap/>
            <w:vAlign w:val="bottom"/>
          </w:tcPr>
          <w:p w:rsidR="00A17661" w:rsidRPr="00137065" w:rsidRDefault="00A17661" w:rsidP="00053CD6">
            <w:pPr>
              <w:jc w:val="center"/>
              <w:rPr>
                <w:b/>
                <w:sz w:val="22"/>
                <w:szCs w:val="22"/>
              </w:rPr>
            </w:pPr>
          </w:p>
        </w:tc>
        <w:tc>
          <w:tcPr>
            <w:tcW w:w="1524" w:type="dxa"/>
            <w:tcBorders>
              <w:top w:val="single" w:sz="4" w:space="0" w:color="auto"/>
              <w:left w:val="single" w:sz="4" w:space="0" w:color="auto"/>
              <w:bottom w:val="single" w:sz="4" w:space="0" w:color="auto"/>
              <w:right w:val="single" w:sz="4" w:space="0" w:color="auto"/>
            </w:tcBorders>
            <w:noWrap/>
            <w:vAlign w:val="bottom"/>
          </w:tcPr>
          <w:p w:rsidR="00A17661" w:rsidRPr="00137065" w:rsidRDefault="00A17661" w:rsidP="00053CD6">
            <w:pPr>
              <w:jc w:val="center"/>
              <w:rPr>
                <w:b/>
                <w:sz w:val="22"/>
                <w:szCs w:val="22"/>
              </w:rPr>
            </w:pPr>
            <w:r>
              <w:rPr>
                <w:b/>
                <w:sz w:val="22"/>
                <w:szCs w:val="22"/>
              </w:rPr>
              <w:t>26</w:t>
            </w:r>
            <w:r w:rsidRPr="00137065">
              <w:rPr>
                <w:b/>
                <w:sz w:val="22"/>
                <w:szCs w:val="22"/>
              </w:rPr>
              <w:t>%</w:t>
            </w:r>
          </w:p>
        </w:tc>
        <w:tc>
          <w:tcPr>
            <w:tcW w:w="222" w:type="dxa"/>
            <w:tcBorders>
              <w:top w:val="single" w:sz="4" w:space="0" w:color="auto"/>
              <w:left w:val="single" w:sz="4" w:space="0" w:color="auto"/>
              <w:bottom w:val="single" w:sz="4" w:space="0" w:color="auto"/>
              <w:right w:val="single" w:sz="4" w:space="0" w:color="auto"/>
            </w:tcBorders>
            <w:noWrap/>
            <w:vAlign w:val="bottom"/>
          </w:tcPr>
          <w:p w:rsidR="00A17661" w:rsidRPr="00137065" w:rsidRDefault="00A17661" w:rsidP="00053CD6">
            <w:pPr>
              <w:jc w:val="center"/>
              <w:rPr>
                <w:b/>
                <w:sz w:val="22"/>
                <w:szCs w:val="22"/>
              </w:rPr>
            </w:pPr>
          </w:p>
        </w:tc>
        <w:tc>
          <w:tcPr>
            <w:tcW w:w="1203" w:type="dxa"/>
            <w:tcBorders>
              <w:top w:val="single" w:sz="4" w:space="0" w:color="auto"/>
              <w:left w:val="single" w:sz="4" w:space="0" w:color="auto"/>
              <w:bottom w:val="single" w:sz="4" w:space="0" w:color="auto"/>
              <w:right w:val="single" w:sz="4" w:space="0" w:color="auto"/>
            </w:tcBorders>
            <w:noWrap/>
            <w:vAlign w:val="bottom"/>
          </w:tcPr>
          <w:p w:rsidR="00A17661" w:rsidRPr="00137065" w:rsidRDefault="00A17661" w:rsidP="00053CD6">
            <w:pPr>
              <w:jc w:val="center"/>
              <w:rPr>
                <w:b/>
                <w:sz w:val="22"/>
                <w:szCs w:val="22"/>
              </w:rPr>
            </w:pPr>
            <w:r>
              <w:rPr>
                <w:b/>
                <w:sz w:val="22"/>
                <w:szCs w:val="22"/>
              </w:rPr>
              <w:t>27</w:t>
            </w:r>
            <w:r w:rsidRPr="00137065">
              <w:rPr>
                <w:b/>
                <w:sz w:val="22"/>
                <w:szCs w:val="22"/>
              </w:rPr>
              <w:t>%</w:t>
            </w:r>
          </w:p>
        </w:tc>
      </w:tr>
    </w:tbl>
    <w:p w:rsidR="00A743F7" w:rsidRPr="00C43689" w:rsidRDefault="00A743F7" w:rsidP="009028F0">
      <w:pPr>
        <w:pStyle w:val="ListParagraph"/>
        <w:widowControl w:val="0"/>
        <w:jc w:val="both"/>
        <w:rPr>
          <w:sz w:val="18"/>
          <w:szCs w:val="18"/>
        </w:rPr>
      </w:pPr>
      <w:r w:rsidRPr="00C43689">
        <w:rPr>
          <w:sz w:val="18"/>
          <w:szCs w:val="18"/>
        </w:rPr>
        <w:t>*</w:t>
      </w:r>
      <w:r w:rsidR="000522F8" w:rsidRPr="00C43689">
        <w:rPr>
          <w:sz w:val="18"/>
          <w:szCs w:val="18"/>
        </w:rPr>
        <w:t xml:space="preserve">The total survey area in Table 1 </w:t>
      </w:r>
      <w:r w:rsidRPr="00C43689">
        <w:rPr>
          <w:sz w:val="18"/>
          <w:szCs w:val="18"/>
        </w:rPr>
        <w:t>do</w:t>
      </w:r>
      <w:r w:rsidR="000522F8" w:rsidRPr="00C43689">
        <w:rPr>
          <w:sz w:val="18"/>
          <w:szCs w:val="18"/>
        </w:rPr>
        <w:t>es</w:t>
      </w:r>
      <w:r w:rsidRPr="00C43689">
        <w:rPr>
          <w:sz w:val="18"/>
          <w:szCs w:val="18"/>
        </w:rPr>
        <w:t xml:space="preserve"> not correlate precisely to </w:t>
      </w:r>
      <w:r w:rsidR="000522F8" w:rsidRPr="00C43689">
        <w:rPr>
          <w:sz w:val="18"/>
          <w:szCs w:val="18"/>
        </w:rPr>
        <w:t xml:space="preserve">proposed </w:t>
      </w:r>
      <w:r w:rsidRPr="00C43689">
        <w:rPr>
          <w:sz w:val="18"/>
          <w:szCs w:val="18"/>
        </w:rPr>
        <w:t>total length of pipeline</w:t>
      </w:r>
      <w:r w:rsidR="000522F8" w:rsidRPr="00C43689">
        <w:rPr>
          <w:sz w:val="18"/>
          <w:szCs w:val="18"/>
        </w:rPr>
        <w:t xml:space="preserve"> for the NED Project</w:t>
      </w:r>
      <w:r w:rsidRPr="00C43689">
        <w:rPr>
          <w:sz w:val="18"/>
          <w:szCs w:val="18"/>
        </w:rPr>
        <w:t xml:space="preserve">.  This number represents the </w:t>
      </w:r>
      <w:r w:rsidR="000522F8" w:rsidRPr="00C43689">
        <w:rPr>
          <w:sz w:val="18"/>
          <w:szCs w:val="18"/>
        </w:rPr>
        <w:t xml:space="preserve">survey area for the proposed pipeline and for evaluation of </w:t>
      </w:r>
      <w:r w:rsidRPr="00C43689">
        <w:rPr>
          <w:sz w:val="18"/>
          <w:szCs w:val="18"/>
        </w:rPr>
        <w:t>route alternatives.</w:t>
      </w:r>
    </w:p>
    <w:p w:rsidR="001D0214" w:rsidRPr="00C43689" w:rsidRDefault="001D0214" w:rsidP="009028F0">
      <w:pPr>
        <w:pStyle w:val="ListParagraph"/>
        <w:widowControl w:val="0"/>
        <w:jc w:val="both"/>
        <w:rPr>
          <w:sz w:val="18"/>
          <w:szCs w:val="18"/>
        </w:rPr>
      </w:pPr>
      <w:r w:rsidRPr="00C43689">
        <w:rPr>
          <w:sz w:val="18"/>
          <w:szCs w:val="18"/>
        </w:rPr>
        <w:t>** “C” represents center line staking.  “D” represent</w:t>
      </w:r>
      <w:r w:rsidR="000522F8" w:rsidRPr="00C43689">
        <w:rPr>
          <w:sz w:val="18"/>
          <w:szCs w:val="18"/>
        </w:rPr>
        <w:t>s</w:t>
      </w:r>
      <w:r w:rsidRPr="00C43689">
        <w:rPr>
          <w:sz w:val="18"/>
          <w:szCs w:val="18"/>
        </w:rPr>
        <w:t xml:space="preserve"> completed civil detail survey.</w:t>
      </w:r>
      <w:r w:rsidR="00C43689" w:rsidRPr="00C43689">
        <w:rPr>
          <w:sz w:val="18"/>
          <w:szCs w:val="18"/>
        </w:rPr>
        <w:t xml:space="preserve">  </w:t>
      </w:r>
    </w:p>
    <w:p w:rsidR="007A3C91" w:rsidRPr="005608AE" w:rsidRDefault="007A3C91" w:rsidP="009028F0">
      <w:pPr>
        <w:widowControl w:val="0"/>
        <w:jc w:val="both"/>
        <w:rPr>
          <w:b/>
          <w:sz w:val="22"/>
          <w:szCs w:val="22"/>
          <w:highlight w:val="yellow"/>
          <w:u w:val="single"/>
        </w:rPr>
      </w:pPr>
    </w:p>
    <w:p w:rsidR="006E295F" w:rsidRPr="000A56FE" w:rsidRDefault="00590189" w:rsidP="009028F0">
      <w:pPr>
        <w:widowControl w:val="0"/>
        <w:jc w:val="both"/>
        <w:rPr>
          <w:b/>
          <w:sz w:val="22"/>
          <w:szCs w:val="22"/>
        </w:rPr>
      </w:pPr>
      <w:r w:rsidRPr="000A56FE">
        <w:rPr>
          <w:b/>
          <w:sz w:val="22"/>
          <w:szCs w:val="22"/>
          <w:u w:val="single"/>
        </w:rPr>
        <w:t>Project Meetings</w:t>
      </w:r>
    </w:p>
    <w:p w:rsidR="00104933" w:rsidRPr="000A56FE" w:rsidRDefault="00104933" w:rsidP="009028F0">
      <w:pPr>
        <w:widowControl w:val="0"/>
        <w:jc w:val="both"/>
        <w:rPr>
          <w:sz w:val="22"/>
          <w:szCs w:val="22"/>
        </w:rPr>
      </w:pPr>
    </w:p>
    <w:p w:rsidR="009E067B" w:rsidRDefault="00294F0A" w:rsidP="009E067B">
      <w:pPr>
        <w:pStyle w:val="ListParagraph"/>
        <w:widowControl w:val="0"/>
        <w:numPr>
          <w:ilvl w:val="0"/>
          <w:numId w:val="10"/>
        </w:numPr>
        <w:ind w:left="720" w:hanging="630"/>
        <w:jc w:val="both"/>
        <w:rPr>
          <w:sz w:val="22"/>
          <w:szCs w:val="22"/>
        </w:rPr>
      </w:pPr>
      <w:r w:rsidRPr="003A6D91">
        <w:rPr>
          <w:sz w:val="22"/>
          <w:szCs w:val="22"/>
        </w:rPr>
        <w:t xml:space="preserve">Tennessee met with the </w:t>
      </w:r>
      <w:r w:rsidR="00A17661">
        <w:rPr>
          <w:sz w:val="22"/>
          <w:szCs w:val="22"/>
        </w:rPr>
        <w:t>Massachusetts Department of Environmental Protection</w:t>
      </w:r>
      <w:r w:rsidR="00A17661">
        <w:t xml:space="preserve"> </w:t>
      </w:r>
      <w:r w:rsidR="00A17661">
        <w:rPr>
          <w:sz w:val="22"/>
          <w:szCs w:val="22"/>
        </w:rPr>
        <w:t>on June 10, 2015</w:t>
      </w:r>
      <w:r w:rsidR="009E067B">
        <w:rPr>
          <w:sz w:val="22"/>
          <w:szCs w:val="22"/>
        </w:rPr>
        <w:t>.</w:t>
      </w:r>
    </w:p>
    <w:p w:rsidR="009E067B" w:rsidRDefault="009E067B" w:rsidP="009E067B">
      <w:pPr>
        <w:pStyle w:val="ListParagraph"/>
        <w:widowControl w:val="0"/>
        <w:numPr>
          <w:ilvl w:val="0"/>
          <w:numId w:val="10"/>
        </w:numPr>
        <w:ind w:left="720" w:hanging="630"/>
        <w:jc w:val="both"/>
        <w:rPr>
          <w:sz w:val="22"/>
          <w:szCs w:val="22"/>
        </w:rPr>
      </w:pPr>
      <w:r w:rsidRPr="00CB3D0D">
        <w:rPr>
          <w:sz w:val="22"/>
          <w:szCs w:val="22"/>
        </w:rPr>
        <w:t xml:space="preserve">Tennessee </w:t>
      </w:r>
      <w:r>
        <w:rPr>
          <w:sz w:val="22"/>
          <w:szCs w:val="22"/>
        </w:rPr>
        <w:t>met with the</w:t>
      </w:r>
      <w:r w:rsidRPr="00CB3D0D">
        <w:rPr>
          <w:sz w:val="22"/>
          <w:szCs w:val="22"/>
        </w:rPr>
        <w:t xml:space="preserve"> </w:t>
      </w:r>
      <w:r w:rsidR="00A17661">
        <w:rPr>
          <w:sz w:val="22"/>
          <w:szCs w:val="22"/>
        </w:rPr>
        <w:t>Massachusetts</w:t>
      </w:r>
      <w:r w:rsidR="00A17661" w:rsidRPr="0088214E">
        <w:rPr>
          <w:sz w:val="22"/>
          <w:szCs w:val="22"/>
        </w:rPr>
        <w:t xml:space="preserve"> Environmental Policy Act (</w:t>
      </w:r>
      <w:r w:rsidR="006E528B">
        <w:rPr>
          <w:sz w:val="22"/>
          <w:szCs w:val="22"/>
        </w:rPr>
        <w:t>“</w:t>
      </w:r>
      <w:r w:rsidR="00A17661" w:rsidRPr="0088214E">
        <w:rPr>
          <w:sz w:val="22"/>
          <w:szCs w:val="22"/>
        </w:rPr>
        <w:t>MEPA</w:t>
      </w:r>
      <w:r w:rsidR="006E528B">
        <w:rPr>
          <w:sz w:val="22"/>
          <w:szCs w:val="22"/>
        </w:rPr>
        <w:t>”</w:t>
      </w:r>
      <w:r w:rsidR="00A17661" w:rsidRPr="0088214E">
        <w:rPr>
          <w:sz w:val="22"/>
          <w:szCs w:val="22"/>
        </w:rPr>
        <w:t>)</w:t>
      </w:r>
      <w:r w:rsidR="00A17661">
        <w:rPr>
          <w:sz w:val="22"/>
          <w:szCs w:val="22"/>
        </w:rPr>
        <w:t xml:space="preserve"> Unit on June 11, 2015</w:t>
      </w:r>
      <w:r w:rsidRPr="00706406">
        <w:rPr>
          <w:sz w:val="22"/>
          <w:szCs w:val="22"/>
        </w:rPr>
        <w:t>.</w:t>
      </w:r>
    </w:p>
    <w:p w:rsidR="009E067B" w:rsidRDefault="009E067B" w:rsidP="009E067B">
      <w:pPr>
        <w:pStyle w:val="ListParagraph"/>
        <w:widowControl w:val="0"/>
        <w:numPr>
          <w:ilvl w:val="0"/>
          <w:numId w:val="10"/>
        </w:numPr>
        <w:ind w:left="720" w:hanging="630"/>
        <w:jc w:val="both"/>
        <w:rPr>
          <w:sz w:val="22"/>
          <w:szCs w:val="22"/>
        </w:rPr>
      </w:pPr>
      <w:r w:rsidRPr="00CB3D0D">
        <w:rPr>
          <w:sz w:val="22"/>
          <w:szCs w:val="22"/>
        </w:rPr>
        <w:t xml:space="preserve">Tennessee </w:t>
      </w:r>
      <w:r>
        <w:rPr>
          <w:sz w:val="22"/>
          <w:szCs w:val="22"/>
        </w:rPr>
        <w:t xml:space="preserve">held a meeting with </w:t>
      </w:r>
      <w:r w:rsidR="006E528B">
        <w:rPr>
          <w:sz w:val="22"/>
          <w:szCs w:val="22"/>
        </w:rPr>
        <w:t>the</w:t>
      </w:r>
      <w:r w:rsidR="006E528B" w:rsidRPr="0088214E">
        <w:rPr>
          <w:sz w:val="22"/>
          <w:szCs w:val="22"/>
        </w:rPr>
        <w:t xml:space="preserve"> </w:t>
      </w:r>
      <w:r w:rsidR="006E528B">
        <w:rPr>
          <w:sz w:val="22"/>
          <w:szCs w:val="22"/>
        </w:rPr>
        <w:t xml:space="preserve">New Hampshire </w:t>
      </w:r>
      <w:r w:rsidR="006E528B" w:rsidRPr="00C8611E">
        <w:rPr>
          <w:sz w:val="22"/>
          <w:szCs w:val="22"/>
        </w:rPr>
        <w:t xml:space="preserve">Alteration of Terrain Bureau </w:t>
      </w:r>
      <w:r w:rsidR="006E528B">
        <w:rPr>
          <w:sz w:val="22"/>
          <w:szCs w:val="22"/>
        </w:rPr>
        <w:t>on June 17, 2015</w:t>
      </w:r>
      <w:r w:rsidRPr="00706406">
        <w:rPr>
          <w:sz w:val="22"/>
          <w:szCs w:val="22"/>
        </w:rPr>
        <w:t>.</w:t>
      </w:r>
    </w:p>
    <w:p w:rsidR="006E528B" w:rsidRPr="006E528B" w:rsidRDefault="006E528B" w:rsidP="009E067B">
      <w:pPr>
        <w:pStyle w:val="ListParagraph"/>
        <w:widowControl w:val="0"/>
        <w:numPr>
          <w:ilvl w:val="0"/>
          <w:numId w:val="10"/>
        </w:numPr>
        <w:ind w:left="720" w:hanging="630"/>
        <w:jc w:val="both"/>
        <w:rPr>
          <w:sz w:val="22"/>
          <w:szCs w:val="22"/>
        </w:rPr>
      </w:pPr>
      <w:r w:rsidRPr="006E528B">
        <w:rPr>
          <w:sz w:val="22"/>
          <w:szCs w:val="22"/>
        </w:rPr>
        <w:t>Tennessee attended a meeting with the New Hampshire Division of Historical Resources on June 17, 2015.</w:t>
      </w:r>
    </w:p>
    <w:p w:rsidR="003B61A6" w:rsidRDefault="003B61A6" w:rsidP="009E067B">
      <w:pPr>
        <w:pStyle w:val="ListParagraph"/>
        <w:widowControl w:val="0"/>
        <w:jc w:val="both"/>
        <w:rPr>
          <w:sz w:val="22"/>
          <w:szCs w:val="22"/>
        </w:rPr>
      </w:pPr>
    </w:p>
    <w:p w:rsidR="00A743F7" w:rsidRPr="00A35828" w:rsidRDefault="006E295F" w:rsidP="00C6759C">
      <w:pPr>
        <w:jc w:val="both"/>
        <w:rPr>
          <w:b/>
          <w:sz w:val="22"/>
          <w:szCs w:val="22"/>
        </w:rPr>
      </w:pPr>
      <w:r w:rsidRPr="00100ED1">
        <w:rPr>
          <w:b/>
          <w:sz w:val="22"/>
          <w:szCs w:val="22"/>
          <w:u w:val="single"/>
        </w:rPr>
        <w:t>Right-of-Way</w:t>
      </w:r>
      <w:r w:rsidR="00100ED1">
        <w:rPr>
          <w:b/>
          <w:sz w:val="22"/>
          <w:szCs w:val="22"/>
        </w:rPr>
        <w:t xml:space="preserve"> </w:t>
      </w:r>
    </w:p>
    <w:p w:rsidR="00C6759C" w:rsidRPr="00A35828" w:rsidRDefault="00C6759C" w:rsidP="00C6759C">
      <w:pPr>
        <w:pStyle w:val="ListParagraph"/>
        <w:numPr>
          <w:ilvl w:val="0"/>
          <w:numId w:val="26"/>
        </w:numPr>
        <w:jc w:val="both"/>
        <w:rPr>
          <w:b/>
          <w:sz w:val="22"/>
          <w:szCs w:val="22"/>
        </w:rPr>
      </w:pPr>
    </w:p>
    <w:p w:rsidR="00C6759C" w:rsidRPr="00366D97" w:rsidRDefault="00C6759C" w:rsidP="00C6759C">
      <w:pPr>
        <w:pStyle w:val="ListParagraph"/>
        <w:numPr>
          <w:ilvl w:val="0"/>
          <w:numId w:val="12"/>
        </w:numPr>
        <w:ind w:left="720"/>
        <w:jc w:val="both"/>
        <w:rPr>
          <w:sz w:val="22"/>
          <w:szCs w:val="22"/>
        </w:rPr>
      </w:pPr>
      <w:r w:rsidRPr="00366D97">
        <w:rPr>
          <w:sz w:val="22"/>
          <w:szCs w:val="22"/>
        </w:rPr>
        <w:t>Tennessee has obtained survey permission for approximately 3</w:t>
      </w:r>
      <w:r>
        <w:rPr>
          <w:sz w:val="22"/>
          <w:szCs w:val="22"/>
        </w:rPr>
        <w:t>9</w:t>
      </w:r>
      <w:r w:rsidRPr="00366D97">
        <w:rPr>
          <w:sz w:val="22"/>
          <w:szCs w:val="22"/>
        </w:rPr>
        <w:t>% of the NED Project Market Path component area, and approximately 5</w:t>
      </w:r>
      <w:r>
        <w:rPr>
          <w:sz w:val="22"/>
          <w:szCs w:val="22"/>
        </w:rPr>
        <w:t>4</w:t>
      </w:r>
      <w:r w:rsidRPr="00366D97">
        <w:rPr>
          <w:sz w:val="22"/>
          <w:szCs w:val="22"/>
        </w:rPr>
        <w:t>% of the NED Project Supply Path component area.</w:t>
      </w:r>
    </w:p>
    <w:p w:rsidR="00C6759C" w:rsidRPr="00366D97" w:rsidRDefault="00C6759C" w:rsidP="00C6759C">
      <w:pPr>
        <w:pStyle w:val="ListParagraph"/>
        <w:numPr>
          <w:ilvl w:val="0"/>
          <w:numId w:val="12"/>
        </w:numPr>
        <w:ind w:left="720"/>
        <w:jc w:val="both"/>
        <w:rPr>
          <w:sz w:val="22"/>
          <w:szCs w:val="22"/>
        </w:rPr>
      </w:pPr>
      <w:r w:rsidRPr="00366D97">
        <w:rPr>
          <w:sz w:val="22"/>
          <w:szCs w:val="22"/>
        </w:rPr>
        <w:t xml:space="preserve">Title work is approximately </w:t>
      </w:r>
      <w:r>
        <w:rPr>
          <w:sz w:val="22"/>
          <w:szCs w:val="22"/>
        </w:rPr>
        <w:t>88</w:t>
      </w:r>
      <w:r w:rsidRPr="00366D97">
        <w:rPr>
          <w:sz w:val="22"/>
          <w:szCs w:val="22"/>
        </w:rPr>
        <w:t>% completed for the NED Project Market Path component area and approximately 93% completed</w:t>
      </w:r>
      <w:r>
        <w:rPr>
          <w:sz w:val="22"/>
          <w:szCs w:val="22"/>
        </w:rPr>
        <w:t xml:space="preserve"> for </w:t>
      </w:r>
      <w:r w:rsidRPr="00366D97">
        <w:rPr>
          <w:sz w:val="22"/>
          <w:szCs w:val="22"/>
        </w:rPr>
        <w:t xml:space="preserve">the NED Supply Path component area.  </w:t>
      </w:r>
    </w:p>
    <w:p w:rsidR="00C6759C" w:rsidRPr="00E47A46" w:rsidRDefault="00C6759C" w:rsidP="00C6759C">
      <w:pPr>
        <w:pStyle w:val="ListParagraph"/>
        <w:numPr>
          <w:ilvl w:val="7"/>
          <w:numId w:val="12"/>
        </w:numPr>
        <w:ind w:hanging="720"/>
        <w:jc w:val="both"/>
        <w:rPr>
          <w:b/>
          <w:sz w:val="22"/>
          <w:szCs w:val="22"/>
          <w:u w:val="single"/>
        </w:rPr>
      </w:pPr>
      <w:r w:rsidRPr="000A2EFB">
        <w:rPr>
          <w:sz w:val="22"/>
          <w:szCs w:val="22"/>
        </w:rPr>
        <w:t xml:space="preserve">Tennessee </w:t>
      </w:r>
      <w:r>
        <w:rPr>
          <w:sz w:val="22"/>
          <w:szCs w:val="22"/>
        </w:rPr>
        <w:t xml:space="preserve">has </w:t>
      </w:r>
      <w:r w:rsidRPr="000A2EFB">
        <w:rPr>
          <w:sz w:val="22"/>
          <w:szCs w:val="22"/>
        </w:rPr>
        <w:t xml:space="preserve">received </w:t>
      </w:r>
      <w:r>
        <w:rPr>
          <w:sz w:val="22"/>
          <w:szCs w:val="22"/>
        </w:rPr>
        <w:t>213</w:t>
      </w:r>
      <w:r w:rsidRPr="000A2EFB">
        <w:rPr>
          <w:sz w:val="22"/>
          <w:szCs w:val="22"/>
        </w:rPr>
        <w:t xml:space="preserve"> calls </w:t>
      </w:r>
      <w:r>
        <w:rPr>
          <w:sz w:val="22"/>
          <w:szCs w:val="22"/>
        </w:rPr>
        <w:t xml:space="preserve">as of the date of this report </w:t>
      </w:r>
      <w:r w:rsidRPr="000A2EFB">
        <w:rPr>
          <w:sz w:val="22"/>
          <w:szCs w:val="22"/>
        </w:rPr>
        <w:t xml:space="preserve">on the </w:t>
      </w:r>
      <w:r>
        <w:rPr>
          <w:sz w:val="22"/>
          <w:szCs w:val="22"/>
        </w:rPr>
        <w:t>toll-free phone number established for the Project.</w:t>
      </w:r>
      <w:r w:rsidRPr="000A2EFB">
        <w:rPr>
          <w:sz w:val="22"/>
          <w:szCs w:val="22"/>
        </w:rPr>
        <w:t xml:space="preserve">  </w:t>
      </w:r>
    </w:p>
    <w:p w:rsidR="00C6759C" w:rsidRPr="00E47A46" w:rsidRDefault="00C6759C" w:rsidP="00C6759C">
      <w:pPr>
        <w:pStyle w:val="ListParagraph"/>
        <w:numPr>
          <w:ilvl w:val="7"/>
          <w:numId w:val="12"/>
        </w:numPr>
        <w:ind w:hanging="720"/>
        <w:jc w:val="both"/>
        <w:rPr>
          <w:b/>
          <w:sz w:val="22"/>
          <w:szCs w:val="22"/>
          <w:u w:val="single"/>
        </w:rPr>
      </w:pPr>
      <w:r>
        <w:rPr>
          <w:sz w:val="22"/>
          <w:szCs w:val="22"/>
        </w:rPr>
        <w:t xml:space="preserve">Tennessee is continuing with survey permission requests in order to conduct bat surveys and access road surveys throughout the Project area. </w:t>
      </w:r>
    </w:p>
    <w:p w:rsidR="00C6759C" w:rsidRPr="00B40DF0" w:rsidRDefault="00C6759C" w:rsidP="00C6759C">
      <w:pPr>
        <w:pStyle w:val="ListParagraph"/>
        <w:numPr>
          <w:ilvl w:val="7"/>
          <w:numId w:val="12"/>
        </w:numPr>
        <w:ind w:hanging="720"/>
        <w:jc w:val="both"/>
        <w:rPr>
          <w:b/>
          <w:sz w:val="22"/>
          <w:szCs w:val="22"/>
          <w:u w:val="single"/>
        </w:rPr>
      </w:pPr>
      <w:r>
        <w:rPr>
          <w:sz w:val="22"/>
          <w:szCs w:val="22"/>
        </w:rPr>
        <w:t>Tennessee continues to work with landowners and towns through the survey permission process to identify concerns and investigate minor deviations and alternative routing.</w:t>
      </w:r>
    </w:p>
    <w:p w:rsidR="007D1F57" w:rsidRPr="007D1F57" w:rsidRDefault="007D1F57" w:rsidP="009028F0">
      <w:pPr>
        <w:pStyle w:val="ListParagraph"/>
        <w:jc w:val="both"/>
        <w:rPr>
          <w:b/>
          <w:sz w:val="22"/>
          <w:szCs w:val="22"/>
          <w:u w:val="single"/>
        </w:rPr>
      </w:pPr>
    </w:p>
    <w:p w:rsidR="00CC089D" w:rsidRPr="0076794C" w:rsidRDefault="006E295F" w:rsidP="009028F0">
      <w:pPr>
        <w:ind w:left="720" w:hanging="744"/>
        <w:jc w:val="both"/>
        <w:rPr>
          <w:b/>
          <w:sz w:val="22"/>
          <w:szCs w:val="22"/>
        </w:rPr>
      </w:pPr>
      <w:r w:rsidRPr="0076794C">
        <w:rPr>
          <w:b/>
          <w:sz w:val="22"/>
          <w:szCs w:val="22"/>
          <w:u w:val="single"/>
        </w:rPr>
        <w:t>Engineering</w:t>
      </w:r>
      <w:r w:rsidRPr="0076794C">
        <w:rPr>
          <w:b/>
          <w:sz w:val="22"/>
          <w:szCs w:val="22"/>
        </w:rPr>
        <w:t xml:space="preserve"> </w:t>
      </w:r>
    </w:p>
    <w:p w:rsidR="00CC089D" w:rsidRPr="005608AE" w:rsidRDefault="00CC089D" w:rsidP="009028F0">
      <w:pPr>
        <w:jc w:val="both"/>
        <w:rPr>
          <w:sz w:val="22"/>
          <w:szCs w:val="22"/>
          <w:highlight w:val="yellow"/>
        </w:rPr>
      </w:pPr>
    </w:p>
    <w:p w:rsidR="00D86D50" w:rsidRPr="00D86D50" w:rsidRDefault="00D86D50" w:rsidP="009028F0">
      <w:pPr>
        <w:pStyle w:val="ListParagraph"/>
        <w:numPr>
          <w:ilvl w:val="0"/>
          <w:numId w:val="30"/>
        </w:numPr>
        <w:ind w:left="720" w:hanging="720"/>
        <w:jc w:val="both"/>
        <w:rPr>
          <w:sz w:val="22"/>
          <w:szCs w:val="22"/>
        </w:rPr>
      </w:pPr>
      <w:r w:rsidRPr="00D86D50">
        <w:rPr>
          <w:sz w:val="22"/>
          <w:szCs w:val="22"/>
        </w:rPr>
        <w:t>Tennessee continues to evaluate the proposed route for the Project.  Deviations to t</w:t>
      </w:r>
      <w:r w:rsidR="009E067B">
        <w:rPr>
          <w:sz w:val="22"/>
          <w:szCs w:val="22"/>
        </w:rPr>
        <w:t>he proposed route are being reviewed</w:t>
      </w:r>
      <w:r w:rsidRPr="00D86D50">
        <w:rPr>
          <w:sz w:val="22"/>
          <w:szCs w:val="22"/>
        </w:rPr>
        <w:t xml:space="preserve"> to accommodate construction constraints, and requests from landowners</w:t>
      </w:r>
      <w:r w:rsidR="0006304C">
        <w:rPr>
          <w:sz w:val="22"/>
          <w:szCs w:val="22"/>
        </w:rPr>
        <w:t xml:space="preserve">, towns, </w:t>
      </w:r>
      <w:r w:rsidRPr="00D86D50">
        <w:rPr>
          <w:sz w:val="22"/>
          <w:szCs w:val="22"/>
        </w:rPr>
        <w:t xml:space="preserve">and applicable regulatory agencies.  </w:t>
      </w:r>
      <w:r w:rsidR="00294F0A">
        <w:rPr>
          <w:sz w:val="22"/>
          <w:szCs w:val="22"/>
        </w:rPr>
        <w:t xml:space="preserve">Some examples include </w:t>
      </w:r>
      <w:r w:rsidR="00806647">
        <w:rPr>
          <w:sz w:val="22"/>
          <w:szCs w:val="22"/>
        </w:rPr>
        <w:t xml:space="preserve">requests for </w:t>
      </w:r>
      <w:r w:rsidR="00294F0A">
        <w:rPr>
          <w:sz w:val="22"/>
          <w:szCs w:val="22"/>
        </w:rPr>
        <w:t>rout</w:t>
      </w:r>
      <w:r w:rsidR="00806647">
        <w:rPr>
          <w:sz w:val="22"/>
          <w:szCs w:val="22"/>
        </w:rPr>
        <w:t>ing deviations</w:t>
      </w:r>
      <w:r w:rsidR="00294F0A">
        <w:rPr>
          <w:sz w:val="22"/>
          <w:szCs w:val="22"/>
        </w:rPr>
        <w:t xml:space="preserve"> submitted by Amherst, New Hampshire and Haverhill, Massachusetts.</w:t>
      </w:r>
      <w:r w:rsidR="006E528B">
        <w:rPr>
          <w:sz w:val="22"/>
          <w:szCs w:val="22"/>
        </w:rPr>
        <w:t xml:space="preserve">  Tennessee will continue these evaluations based on information provided during the upcoming scoping meetings. </w:t>
      </w:r>
    </w:p>
    <w:p w:rsidR="00747213" w:rsidRDefault="00747213" w:rsidP="009028F0">
      <w:pPr>
        <w:pStyle w:val="ListParagraph"/>
        <w:numPr>
          <w:ilvl w:val="1"/>
          <w:numId w:val="30"/>
        </w:numPr>
        <w:ind w:left="720" w:hanging="720"/>
        <w:jc w:val="both"/>
        <w:rPr>
          <w:sz w:val="22"/>
          <w:szCs w:val="22"/>
        </w:rPr>
      </w:pPr>
      <w:r w:rsidRPr="00595750">
        <w:rPr>
          <w:sz w:val="22"/>
          <w:szCs w:val="22"/>
        </w:rPr>
        <w:t>Tennessee continues to evaluate</w:t>
      </w:r>
      <w:r>
        <w:rPr>
          <w:sz w:val="22"/>
          <w:szCs w:val="22"/>
        </w:rPr>
        <w:t xml:space="preserve"> the proposed</w:t>
      </w:r>
      <w:r w:rsidRPr="00595750">
        <w:rPr>
          <w:sz w:val="22"/>
          <w:szCs w:val="22"/>
        </w:rPr>
        <w:t xml:space="preserve"> major river crossings</w:t>
      </w:r>
      <w:r w:rsidR="0006304C">
        <w:rPr>
          <w:sz w:val="22"/>
          <w:szCs w:val="22"/>
        </w:rPr>
        <w:t>, including</w:t>
      </w:r>
      <w:r>
        <w:rPr>
          <w:sz w:val="22"/>
          <w:szCs w:val="22"/>
        </w:rPr>
        <w:t xml:space="preserve"> potential </w:t>
      </w:r>
      <w:r w:rsidR="006E528B">
        <w:rPr>
          <w:sz w:val="22"/>
          <w:szCs w:val="22"/>
        </w:rPr>
        <w:t>Horizontal Directional Drill (“</w:t>
      </w:r>
      <w:r>
        <w:rPr>
          <w:sz w:val="22"/>
          <w:szCs w:val="22"/>
        </w:rPr>
        <w:t>HDD</w:t>
      </w:r>
      <w:r w:rsidR="006E528B">
        <w:rPr>
          <w:sz w:val="22"/>
          <w:szCs w:val="22"/>
        </w:rPr>
        <w:t>”)</w:t>
      </w:r>
      <w:r>
        <w:rPr>
          <w:sz w:val="22"/>
          <w:szCs w:val="22"/>
        </w:rPr>
        <w:t xml:space="preserve"> locations.  </w:t>
      </w:r>
      <w:r w:rsidR="006E528B">
        <w:rPr>
          <w:sz w:val="22"/>
          <w:szCs w:val="22"/>
        </w:rPr>
        <w:t>Tennessee is conducting environmental surveys where access is available at these potential locations, and will</w:t>
      </w:r>
      <w:r>
        <w:rPr>
          <w:sz w:val="22"/>
          <w:szCs w:val="22"/>
        </w:rPr>
        <w:t xml:space="preserve"> seek appropriate permits</w:t>
      </w:r>
      <w:r w:rsidR="006E528B">
        <w:rPr>
          <w:sz w:val="22"/>
          <w:szCs w:val="22"/>
        </w:rPr>
        <w:t>, as needed,</w:t>
      </w:r>
      <w:r>
        <w:rPr>
          <w:sz w:val="22"/>
          <w:szCs w:val="22"/>
        </w:rPr>
        <w:t xml:space="preserve"> for geotechnical investigations.</w:t>
      </w:r>
    </w:p>
    <w:p w:rsidR="00781BAA" w:rsidRPr="00366D97" w:rsidRDefault="000D0361" w:rsidP="009028F0">
      <w:pPr>
        <w:pStyle w:val="ListParagraph"/>
        <w:numPr>
          <w:ilvl w:val="7"/>
          <w:numId w:val="31"/>
        </w:numPr>
        <w:ind w:hanging="720"/>
        <w:jc w:val="both"/>
        <w:rPr>
          <w:sz w:val="22"/>
          <w:szCs w:val="22"/>
        </w:rPr>
      </w:pPr>
      <w:r w:rsidRPr="000D0361">
        <w:rPr>
          <w:sz w:val="22"/>
          <w:szCs w:val="22"/>
        </w:rPr>
        <w:lastRenderedPageBreak/>
        <w:t xml:space="preserve">Tennessee </w:t>
      </w:r>
      <w:r w:rsidR="00747213">
        <w:rPr>
          <w:sz w:val="22"/>
          <w:szCs w:val="22"/>
        </w:rPr>
        <w:t>contracted for</w:t>
      </w:r>
      <w:r w:rsidRPr="000D0361">
        <w:rPr>
          <w:sz w:val="22"/>
          <w:szCs w:val="22"/>
        </w:rPr>
        <w:t xml:space="preserve"> aerial photography of the proposed primary route for the Project and for several alternative routes discussed in the draft Resource Report 10 submitted on </w:t>
      </w:r>
      <w:r w:rsidR="00E92E1F">
        <w:rPr>
          <w:sz w:val="22"/>
          <w:szCs w:val="22"/>
        </w:rPr>
        <w:t>March 13</w:t>
      </w:r>
      <w:r w:rsidR="00E92E1F" w:rsidRPr="00D86D50">
        <w:rPr>
          <w:sz w:val="22"/>
          <w:szCs w:val="22"/>
        </w:rPr>
        <w:t>, 201</w:t>
      </w:r>
      <w:r w:rsidR="00E92E1F">
        <w:rPr>
          <w:sz w:val="22"/>
          <w:szCs w:val="22"/>
        </w:rPr>
        <w:t>5</w:t>
      </w:r>
      <w:r w:rsidRPr="000D0361">
        <w:rPr>
          <w:sz w:val="22"/>
          <w:szCs w:val="22"/>
        </w:rPr>
        <w:t xml:space="preserve">.  </w:t>
      </w:r>
      <w:r w:rsidR="00294F0A">
        <w:rPr>
          <w:sz w:val="22"/>
          <w:szCs w:val="22"/>
        </w:rPr>
        <w:t xml:space="preserve">The primary route was flown to a one-mile corridor </w:t>
      </w:r>
      <w:r w:rsidR="006E528B">
        <w:rPr>
          <w:sz w:val="22"/>
          <w:szCs w:val="22"/>
        </w:rPr>
        <w:t>and the imagery continues to be</w:t>
      </w:r>
      <w:r w:rsidR="00294F0A">
        <w:rPr>
          <w:sz w:val="22"/>
          <w:szCs w:val="22"/>
        </w:rPr>
        <w:t xml:space="preserve"> </w:t>
      </w:r>
      <w:r w:rsidR="00294F0A" w:rsidRPr="00366D97">
        <w:rPr>
          <w:sz w:val="22"/>
          <w:szCs w:val="22"/>
        </w:rPr>
        <w:t>processed.  LiDAR information as well as high resolution photograp</w:t>
      </w:r>
      <w:r w:rsidR="009E067B">
        <w:rPr>
          <w:sz w:val="22"/>
          <w:szCs w:val="22"/>
        </w:rPr>
        <w:t>hy has been acquired and is currently being processed</w:t>
      </w:r>
      <w:r w:rsidR="006E528B">
        <w:rPr>
          <w:sz w:val="22"/>
          <w:szCs w:val="22"/>
        </w:rPr>
        <w:t xml:space="preserve">, and will be </w:t>
      </w:r>
      <w:r w:rsidR="005F1F1C">
        <w:rPr>
          <w:sz w:val="22"/>
          <w:szCs w:val="22"/>
        </w:rPr>
        <w:t xml:space="preserve">included with the certificate application filing </w:t>
      </w:r>
      <w:r w:rsidR="00E26C8B">
        <w:rPr>
          <w:sz w:val="22"/>
          <w:szCs w:val="22"/>
        </w:rPr>
        <w:t xml:space="preserve">targeted for </w:t>
      </w:r>
      <w:r w:rsidR="006E528B">
        <w:rPr>
          <w:sz w:val="22"/>
          <w:szCs w:val="22"/>
        </w:rPr>
        <w:t xml:space="preserve">October </w:t>
      </w:r>
      <w:r w:rsidR="005F1F1C">
        <w:rPr>
          <w:sz w:val="22"/>
          <w:szCs w:val="22"/>
        </w:rPr>
        <w:t>2015</w:t>
      </w:r>
      <w:r w:rsidR="00294F0A" w:rsidRPr="00366D97">
        <w:rPr>
          <w:sz w:val="22"/>
          <w:szCs w:val="22"/>
        </w:rPr>
        <w:t xml:space="preserve">. </w:t>
      </w:r>
      <w:r w:rsidR="007E5DD4" w:rsidRPr="00366D97">
        <w:rPr>
          <w:sz w:val="22"/>
          <w:szCs w:val="22"/>
        </w:rPr>
        <w:t xml:space="preserve"> </w:t>
      </w:r>
      <w:r w:rsidRPr="00366D97">
        <w:rPr>
          <w:sz w:val="22"/>
          <w:szCs w:val="22"/>
        </w:rPr>
        <w:t xml:space="preserve">  </w:t>
      </w:r>
    </w:p>
    <w:p w:rsidR="00830EF0" w:rsidRDefault="000D0361" w:rsidP="00830EF0">
      <w:pPr>
        <w:pStyle w:val="ListParagraph"/>
        <w:widowControl w:val="0"/>
        <w:numPr>
          <w:ilvl w:val="7"/>
          <w:numId w:val="31"/>
        </w:numPr>
        <w:autoSpaceDE w:val="0"/>
        <w:autoSpaceDN w:val="0"/>
        <w:adjustRightInd w:val="0"/>
        <w:jc w:val="both"/>
        <w:rPr>
          <w:sz w:val="22"/>
          <w:szCs w:val="22"/>
        </w:rPr>
      </w:pPr>
      <w:r w:rsidRPr="00830EF0">
        <w:rPr>
          <w:sz w:val="22"/>
          <w:szCs w:val="22"/>
        </w:rPr>
        <w:t xml:space="preserve">Tennessee </w:t>
      </w:r>
      <w:r w:rsidR="009E067B" w:rsidRPr="00830EF0">
        <w:rPr>
          <w:sz w:val="22"/>
          <w:szCs w:val="22"/>
        </w:rPr>
        <w:t>provide</w:t>
      </w:r>
      <w:r w:rsidR="006E528B" w:rsidRPr="00830EF0">
        <w:rPr>
          <w:sz w:val="22"/>
          <w:szCs w:val="22"/>
        </w:rPr>
        <w:t>d</w:t>
      </w:r>
      <w:r w:rsidR="009E067B" w:rsidRPr="00830EF0">
        <w:rPr>
          <w:sz w:val="22"/>
          <w:szCs w:val="22"/>
        </w:rPr>
        <w:t xml:space="preserve"> locations of the proposed compressor station sites in a supplemental filing to the Commission </w:t>
      </w:r>
      <w:r w:rsidR="00C6759C" w:rsidRPr="005F1F1C">
        <w:rPr>
          <w:sz w:val="22"/>
          <w:szCs w:val="22"/>
        </w:rPr>
        <w:t xml:space="preserve">on June </w:t>
      </w:r>
      <w:r w:rsidR="005F1F1C" w:rsidRPr="005F1F1C">
        <w:rPr>
          <w:sz w:val="22"/>
          <w:szCs w:val="22"/>
        </w:rPr>
        <w:t>1</w:t>
      </w:r>
      <w:r w:rsidR="00C6759C" w:rsidRPr="000F6F82">
        <w:rPr>
          <w:sz w:val="22"/>
          <w:szCs w:val="22"/>
        </w:rPr>
        <w:t>, 2015</w:t>
      </w:r>
      <w:r w:rsidR="005F1F1C" w:rsidRPr="000F6F82">
        <w:rPr>
          <w:sz w:val="22"/>
          <w:szCs w:val="22"/>
        </w:rPr>
        <w:t>, and supplemented on June 3, 2015</w:t>
      </w:r>
      <w:r w:rsidR="00C6759C" w:rsidRPr="000F6F82">
        <w:rPr>
          <w:sz w:val="22"/>
          <w:szCs w:val="22"/>
        </w:rPr>
        <w:t>.</w:t>
      </w:r>
      <w:r w:rsidR="005F1F1C" w:rsidRPr="000F6F82">
        <w:rPr>
          <w:sz w:val="22"/>
          <w:szCs w:val="22"/>
        </w:rPr>
        <w:t xml:space="preserve">  </w:t>
      </w:r>
    </w:p>
    <w:p w:rsidR="005F1F1C" w:rsidRPr="00830EF0" w:rsidRDefault="005F1F1C" w:rsidP="00830EF0">
      <w:pPr>
        <w:pStyle w:val="ListParagraph"/>
        <w:widowControl w:val="0"/>
        <w:numPr>
          <w:ilvl w:val="7"/>
          <w:numId w:val="31"/>
        </w:numPr>
        <w:autoSpaceDE w:val="0"/>
        <w:autoSpaceDN w:val="0"/>
        <w:adjustRightInd w:val="0"/>
        <w:jc w:val="both"/>
        <w:rPr>
          <w:sz w:val="22"/>
          <w:szCs w:val="22"/>
        </w:rPr>
      </w:pPr>
      <w:r w:rsidRPr="000F6F82">
        <w:rPr>
          <w:sz w:val="22"/>
          <w:szCs w:val="22"/>
        </w:rPr>
        <w:t>On June 2, 2015 Tennesse</w:t>
      </w:r>
      <w:r w:rsidRPr="00E26C8B">
        <w:rPr>
          <w:sz w:val="22"/>
          <w:szCs w:val="22"/>
        </w:rPr>
        <w:t xml:space="preserve">e filed </w:t>
      </w:r>
      <w:r w:rsidR="000F6F82">
        <w:rPr>
          <w:sz w:val="22"/>
          <w:szCs w:val="22"/>
        </w:rPr>
        <w:t xml:space="preserve">an update with the Commission </w:t>
      </w:r>
      <w:r w:rsidRPr="000F6F82">
        <w:rPr>
          <w:sz w:val="22"/>
          <w:szCs w:val="22"/>
        </w:rPr>
        <w:t>regarding removal of facilities</w:t>
      </w:r>
      <w:r w:rsidRPr="00E26C8B">
        <w:rPr>
          <w:sz w:val="22"/>
          <w:szCs w:val="22"/>
        </w:rPr>
        <w:t xml:space="preserve"> from the propos</w:t>
      </w:r>
      <w:r w:rsidRPr="005F1F1C">
        <w:rPr>
          <w:sz w:val="22"/>
          <w:szCs w:val="22"/>
        </w:rPr>
        <w:t xml:space="preserve">ed scope of the Project, including </w:t>
      </w:r>
      <w:r w:rsidRPr="00830EF0">
        <w:rPr>
          <w:sz w:val="22"/>
          <w:szCs w:val="22"/>
        </w:rPr>
        <w:t xml:space="preserve">(i) approximately 15.6 miles of pipeline associated with the North Worcester Lateral in Massachusetts and the Stamford Loop in Connecticut, (ii) the proposed new North Worcester meter station in Massachusetts, and (iii) the proposed modifications at three (3) existing meter stations in Connecticut (Long Ridge Meter Station, Stamford Meter Station, and New Britain Meter Station).  </w:t>
      </w:r>
    </w:p>
    <w:p w:rsidR="00747213" w:rsidRPr="005F1F1C" w:rsidRDefault="00747213" w:rsidP="000F6F82">
      <w:pPr>
        <w:pStyle w:val="ListParagraph"/>
        <w:numPr>
          <w:ilvl w:val="0"/>
          <w:numId w:val="13"/>
        </w:numPr>
        <w:jc w:val="both"/>
        <w:rPr>
          <w:sz w:val="22"/>
          <w:szCs w:val="22"/>
        </w:rPr>
      </w:pPr>
      <w:r w:rsidRPr="005F1F1C">
        <w:rPr>
          <w:sz w:val="22"/>
          <w:szCs w:val="22"/>
        </w:rPr>
        <w:t xml:space="preserve">Tennessee field engineers continue to identify available access roads, pipe/construction yards, and other areas proposed for use during construction. </w:t>
      </w:r>
    </w:p>
    <w:p w:rsidR="00366D97" w:rsidRDefault="00747213" w:rsidP="009028F0">
      <w:pPr>
        <w:pStyle w:val="ListParagraph"/>
        <w:numPr>
          <w:ilvl w:val="0"/>
          <w:numId w:val="13"/>
        </w:numPr>
        <w:jc w:val="both"/>
        <w:rPr>
          <w:sz w:val="22"/>
          <w:szCs w:val="22"/>
        </w:rPr>
      </w:pPr>
      <w:r w:rsidRPr="00366D97">
        <w:rPr>
          <w:sz w:val="22"/>
          <w:szCs w:val="22"/>
        </w:rPr>
        <w:t xml:space="preserve">Survey activities identifying and staking the centerline along all routes on accessible land </w:t>
      </w:r>
      <w:r w:rsidR="0006304C">
        <w:rPr>
          <w:sz w:val="22"/>
          <w:szCs w:val="22"/>
        </w:rPr>
        <w:t>continued</w:t>
      </w:r>
      <w:r w:rsidR="00366D97" w:rsidRPr="00366D97">
        <w:rPr>
          <w:sz w:val="22"/>
          <w:szCs w:val="22"/>
        </w:rPr>
        <w:t xml:space="preserve"> during the reporting period</w:t>
      </w:r>
      <w:r w:rsidRPr="00366D97">
        <w:rPr>
          <w:sz w:val="22"/>
          <w:szCs w:val="22"/>
        </w:rPr>
        <w:t xml:space="preserve">.  </w:t>
      </w:r>
      <w:r w:rsidR="00366D97">
        <w:rPr>
          <w:sz w:val="22"/>
          <w:szCs w:val="22"/>
        </w:rPr>
        <w:t xml:space="preserve">Work being performed includes staking and detail survey along </w:t>
      </w:r>
      <w:r w:rsidR="0006304C">
        <w:rPr>
          <w:sz w:val="22"/>
          <w:szCs w:val="22"/>
        </w:rPr>
        <w:t xml:space="preserve">the </w:t>
      </w:r>
      <w:r w:rsidR="00366D97">
        <w:rPr>
          <w:sz w:val="22"/>
          <w:szCs w:val="22"/>
        </w:rPr>
        <w:t>pipeline route and surveys of supporting sites such as contractor yards and compressor stations.</w:t>
      </w:r>
    </w:p>
    <w:p w:rsidR="00802AF7" w:rsidRPr="00366D97" w:rsidRDefault="00747213" w:rsidP="009028F0">
      <w:pPr>
        <w:pStyle w:val="ListParagraph"/>
        <w:numPr>
          <w:ilvl w:val="0"/>
          <w:numId w:val="13"/>
        </w:numPr>
        <w:jc w:val="both"/>
        <w:rPr>
          <w:sz w:val="22"/>
          <w:szCs w:val="22"/>
        </w:rPr>
      </w:pPr>
      <w:r w:rsidRPr="00366D97">
        <w:rPr>
          <w:sz w:val="22"/>
          <w:szCs w:val="22"/>
        </w:rPr>
        <w:t xml:space="preserve">Tennessee </w:t>
      </w:r>
      <w:r w:rsidR="00366D97">
        <w:rPr>
          <w:sz w:val="22"/>
          <w:szCs w:val="22"/>
        </w:rPr>
        <w:t>continued discussions</w:t>
      </w:r>
      <w:r w:rsidR="0050164F" w:rsidRPr="00366D97">
        <w:rPr>
          <w:sz w:val="22"/>
          <w:szCs w:val="22"/>
        </w:rPr>
        <w:t xml:space="preserve"> </w:t>
      </w:r>
      <w:r w:rsidRPr="00366D97">
        <w:rPr>
          <w:sz w:val="22"/>
          <w:szCs w:val="22"/>
        </w:rPr>
        <w:t xml:space="preserve">with the electric utility companies </w:t>
      </w:r>
      <w:r w:rsidR="0050164F" w:rsidRPr="00366D97">
        <w:rPr>
          <w:sz w:val="22"/>
          <w:szCs w:val="22"/>
        </w:rPr>
        <w:t xml:space="preserve">regarding the co-location of proposed Project facilities with existing utility corridors. </w:t>
      </w:r>
    </w:p>
    <w:p w:rsidR="00802AF7" w:rsidRDefault="00802AF7" w:rsidP="009028F0">
      <w:pPr>
        <w:numPr>
          <w:ilvl w:val="0"/>
          <w:numId w:val="13"/>
        </w:numPr>
        <w:contextualSpacing/>
        <w:jc w:val="both"/>
        <w:rPr>
          <w:sz w:val="22"/>
          <w:szCs w:val="22"/>
        </w:rPr>
      </w:pPr>
      <w:r>
        <w:rPr>
          <w:sz w:val="22"/>
          <w:szCs w:val="22"/>
        </w:rPr>
        <w:t xml:space="preserve">Tennessee </w:t>
      </w:r>
      <w:r w:rsidR="00366D97">
        <w:rPr>
          <w:sz w:val="22"/>
          <w:szCs w:val="22"/>
        </w:rPr>
        <w:t>has</w:t>
      </w:r>
      <w:r>
        <w:rPr>
          <w:sz w:val="22"/>
          <w:szCs w:val="22"/>
        </w:rPr>
        <w:t xml:space="preserve"> conduct</w:t>
      </w:r>
      <w:r w:rsidR="00366D97">
        <w:rPr>
          <w:sz w:val="22"/>
          <w:szCs w:val="22"/>
        </w:rPr>
        <w:t>ed</w:t>
      </w:r>
      <w:r>
        <w:rPr>
          <w:sz w:val="22"/>
          <w:szCs w:val="22"/>
        </w:rPr>
        <w:t xml:space="preserve"> an initial analysis based on public imagery to review class locations to allow for siting of mainline valves.  </w:t>
      </w:r>
      <w:r w:rsidR="00366D97">
        <w:rPr>
          <w:sz w:val="22"/>
          <w:szCs w:val="22"/>
        </w:rPr>
        <w:t xml:space="preserve">Mainline valve sites </w:t>
      </w:r>
      <w:r w:rsidR="007675DF">
        <w:rPr>
          <w:sz w:val="22"/>
          <w:szCs w:val="22"/>
        </w:rPr>
        <w:t xml:space="preserve">continue to be </w:t>
      </w:r>
      <w:r w:rsidR="00366D97">
        <w:rPr>
          <w:sz w:val="22"/>
          <w:szCs w:val="22"/>
        </w:rPr>
        <w:t>field-reviewed.  Locations will be reevaluated following the final imagery and class determination.</w:t>
      </w:r>
    </w:p>
    <w:p w:rsidR="006E528B" w:rsidRDefault="006E528B" w:rsidP="006E528B">
      <w:pPr>
        <w:numPr>
          <w:ilvl w:val="0"/>
          <w:numId w:val="13"/>
        </w:numPr>
        <w:contextualSpacing/>
        <w:jc w:val="both"/>
        <w:rPr>
          <w:sz w:val="22"/>
          <w:szCs w:val="22"/>
        </w:rPr>
      </w:pPr>
      <w:r>
        <w:rPr>
          <w:sz w:val="22"/>
          <w:szCs w:val="22"/>
        </w:rPr>
        <w:t>Structures along the proposed pipeline alignment were located during the aerial flights.  This information is being evaluated for final class location determination.</w:t>
      </w:r>
    </w:p>
    <w:p w:rsidR="006E528B" w:rsidRDefault="006E528B" w:rsidP="006E528B">
      <w:pPr>
        <w:numPr>
          <w:ilvl w:val="0"/>
          <w:numId w:val="13"/>
        </w:numPr>
        <w:contextualSpacing/>
        <w:jc w:val="both"/>
        <w:rPr>
          <w:sz w:val="22"/>
          <w:szCs w:val="22"/>
        </w:rPr>
      </w:pPr>
      <w:r>
        <w:rPr>
          <w:sz w:val="22"/>
          <w:szCs w:val="22"/>
        </w:rPr>
        <w:t>Preliminary construction spreads have been determined.  A hydrostatic test plan is being developed, including depicting potential water supplies and discharge locations.</w:t>
      </w:r>
    </w:p>
    <w:p w:rsidR="006E528B" w:rsidRDefault="006E528B" w:rsidP="006E528B">
      <w:pPr>
        <w:numPr>
          <w:ilvl w:val="0"/>
          <w:numId w:val="13"/>
        </w:numPr>
        <w:contextualSpacing/>
        <w:jc w:val="both"/>
        <w:rPr>
          <w:sz w:val="22"/>
          <w:szCs w:val="22"/>
        </w:rPr>
      </w:pPr>
      <w:r>
        <w:rPr>
          <w:sz w:val="22"/>
          <w:szCs w:val="22"/>
        </w:rPr>
        <w:t xml:space="preserve">Residential figures are being developed for residences within 50 feet of the proposed workspace.  </w:t>
      </w:r>
    </w:p>
    <w:p w:rsidR="006E528B" w:rsidRDefault="006E528B" w:rsidP="006E528B">
      <w:pPr>
        <w:numPr>
          <w:ilvl w:val="0"/>
          <w:numId w:val="13"/>
        </w:numPr>
        <w:contextualSpacing/>
        <w:jc w:val="both"/>
        <w:rPr>
          <w:sz w:val="22"/>
          <w:szCs w:val="22"/>
        </w:rPr>
      </w:pPr>
      <w:r>
        <w:rPr>
          <w:sz w:val="22"/>
          <w:szCs w:val="22"/>
        </w:rPr>
        <w:t xml:space="preserve">Resistivity surveys </w:t>
      </w:r>
      <w:r w:rsidR="00F64EC3">
        <w:rPr>
          <w:sz w:val="22"/>
          <w:szCs w:val="22"/>
        </w:rPr>
        <w:t>were initiated</w:t>
      </w:r>
      <w:r>
        <w:rPr>
          <w:sz w:val="22"/>
          <w:szCs w:val="22"/>
        </w:rPr>
        <w:t xml:space="preserve"> along the pipeline</w:t>
      </w:r>
      <w:r w:rsidR="0006304C">
        <w:rPr>
          <w:sz w:val="22"/>
          <w:szCs w:val="22"/>
        </w:rPr>
        <w:t xml:space="preserve"> route</w:t>
      </w:r>
      <w:r>
        <w:rPr>
          <w:sz w:val="22"/>
          <w:szCs w:val="22"/>
        </w:rPr>
        <w:t xml:space="preserve"> in support of the cathodic protection </w:t>
      </w:r>
      <w:r w:rsidR="00F64EC3">
        <w:rPr>
          <w:sz w:val="22"/>
          <w:szCs w:val="22"/>
        </w:rPr>
        <w:t xml:space="preserve">and AC mitigation </w:t>
      </w:r>
      <w:r>
        <w:rPr>
          <w:sz w:val="22"/>
          <w:szCs w:val="22"/>
        </w:rPr>
        <w:t>design.</w:t>
      </w:r>
    </w:p>
    <w:p w:rsidR="00747213" w:rsidRPr="00366D97" w:rsidRDefault="00747213" w:rsidP="006E528B">
      <w:pPr>
        <w:ind w:left="720"/>
        <w:contextualSpacing/>
        <w:jc w:val="both"/>
        <w:rPr>
          <w:sz w:val="22"/>
          <w:szCs w:val="22"/>
        </w:rPr>
      </w:pPr>
    </w:p>
    <w:sectPr w:rsidR="00747213" w:rsidRPr="00366D97" w:rsidSect="00A35828">
      <w:footerReference w:type="even" r:id="rId9"/>
      <w:footerReference w:type="default" r:id="rId10"/>
      <w:pgSz w:w="12240" w:h="15840" w:code="1"/>
      <w:pgMar w:top="1440" w:right="1440" w:bottom="1440" w:left="1440" w:header="720" w:footer="720" w:gutter="0"/>
      <w:cols w:space="720"/>
      <w:noEndnote/>
      <w:titlePg/>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E2051" w:rsidRDefault="00BE2051">
      <w:r>
        <w:separator/>
      </w:r>
    </w:p>
  </w:endnote>
  <w:endnote w:type="continuationSeparator" w:id="0">
    <w:p w:rsidR="00BE2051" w:rsidRDefault="00BE20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EE" w:rsidRDefault="00DF46EE" w:rsidP="00F22B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DF46EE" w:rsidRDefault="00DF46EE">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F46EE" w:rsidRDefault="00DF46EE" w:rsidP="00F22B6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340E4D">
      <w:rPr>
        <w:rStyle w:val="PageNumber"/>
        <w:noProof/>
      </w:rPr>
      <w:t>3</w:t>
    </w:r>
    <w:r>
      <w:rPr>
        <w:rStyle w:val="PageNumber"/>
      </w:rPr>
      <w:fldChar w:fldCharType="end"/>
    </w:r>
  </w:p>
  <w:p w:rsidR="00DF46EE" w:rsidRDefault="00DF46EE">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E2051" w:rsidRDefault="00BE2051">
      <w:r>
        <w:separator/>
      </w:r>
    </w:p>
  </w:footnote>
  <w:footnote w:type="continuationSeparator" w:id="0">
    <w:p w:rsidR="00BE2051" w:rsidRDefault="00BE205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8A5096"/>
    <w:multiLevelType w:val="hybridMultilevel"/>
    <w:tmpl w:val="8BEAF776"/>
    <w:lvl w:ilvl="0" w:tplc="3962DC7C">
      <w:numFmt w:val="bullet"/>
      <w:lvlText w:val="•"/>
      <w:lvlJc w:val="left"/>
      <w:pPr>
        <w:ind w:left="1440" w:hanging="360"/>
      </w:pPr>
      <w:rPr>
        <w:rFonts w:ascii="Times New Roman" w:eastAsia="Times New Roman" w:hAnsi="Times New Roman"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
    <w:nsid w:val="02F93B94"/>
    <w:multiLevelType w:val="hybridMultilevel"/>
    <w:tmpl w:val="A82ADD2C"/>
    <w:lvl w:ilvl="0" w:tplc="3962DC7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7981564"/>
    <w:multiLevelType w:val="hybridMultilevel"/>
    <w:tmpl w:val="4288D38A"/>
    <w:lvl w:ilvl="0" w:tplc="3962DC7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
    <w:nsid w:val="0ABB6484"/>
    <w:multiLevelType w:val="hybridMultilevel"/>
    <w:tmpl w:val="B5F4084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10B7652"/>
    <w:multiLevelType w:val="hybridMultilevel"/>
    <w:tmpl w:val="1728AE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146B744A"/>
    <w:multiLevelType w:val="hybridMultilevel"/>
    <w:tmpl w:val="10782F9E"/>
    <w:lvl w:ilvl="0" w:tplc="04090001">
      <w:start w:val="1"/>
      <w:numFmt w:val="bullet"/>
      <w:lvlText w:val=""/>
      <w:lvlJc w:val="left"/>
      <w:pPr>
        <w:ind w:left="1440" w:hanging="360"/>
      </w:pPr>
      <w:rPr>
        <w:rFonts w:ascii="Symbol" w:hAnsi="Symbol" w:hint="default"/>
      </w:rPr>
    </w:lvl>
    <w:lvl w:ilvl="1" w:tplc="04090003">
      <w:start w:val="1"/>
      <w:numFmt w:val="decimal"/>
      <w:lvlText w:val="%2."/>
      <w:lvlJc w:val="left"/>
      <w:pPr>
        <w:tabs>
          <w:tab w:val="num" w:pos="2160"/>
        </w:tabs>
        <w:ind w:left="2160" w:hanging="360"/>
      </w:pPr>
      <w:rPr>
        <w:rFonts w:cs="Times New Roman"/>
      </w:rPr>
    </w:lvl>
    <w:lvl w:ilvl="2" w:tplc="04090005">
      <w:start w:val="1"/>
      <w:numFmt w:val="decimal"/>
      <w:lvlText w:val="%3."/>
      <w:lvlJc w:val="left"/>
      <w:pPr>
        <w:tabs>
          <w:tab w:val="num" w:pos="2880"/>
        </w:tabs>
        <w:ind w:left="2880" w:hanging="360"/>
      </w:pPr>
      <w:rPr>
        <w:rFonts w:cs="Times New Roman"/>
      </w:rPr>
    </w:lvl>
    <w:lvl w:ilvl="3" w:tplc="04090001">
      <w:start w:val="1"/>
      <w:numFmt w:val="decimal"/>
      <w:lvlText w:val="%4."/>
      <w:lvlJc w:val="left"/>
      <w:pPr>
        <w:tabs>
          <w:tab w:val="num" w:pos="3600"/>
        </w:tabs>
        <w:ind w:left="3600" w:hanging="360"/>
      </w:pPr>
      <w:rPr>
        <w:rFonts w:cs="Times New Roman"/>
      </w:rPr>
    </w:lvl>
    <w:lvl w:ilvl="4" w:tplc="04090003">
      <w:start w:val="1"/>
      <w:numFmt w:val="decimal"/>
      <w:lvlText w:val="%5."/>
      <w:lvlJc w:val="left"/>
      <w:pPr>
        <w:tabs>
          <w:tab w:val="num" w:pos="4320"/>
        </w:tabs>
        <w:ind w:left="4320" w:hanging="360"/>
      </w:pPr>
      <w:rPr>
        <w:rFonts w:cs="Times New Roman"/>
      </w:rPr>
    </w:lvl>
    <w:lvl w:ilvl="5" w:tplc="04090005">
      <w:start w:val="1"/>
      <w:numFmt w:val="decimal"/>
      <w:lvlText w:val="%6."/>
      <w:lvlJc w:val="left"/>
      <w:pPr>
        <w:tabs>
          <w:tab w:val="num" w:pos="5040"/>
        </w:tabs>
        <w:ind w:left="5040" w:hanging="360"/>
      </w:pPr>
      <w:rPr>
        <w:rFonts w:cs="Times New Roman"/>
      </w:rPr>
    </w:lvl>
    <w:lvl w:ilvl="6" w:tplc="04090001">
      <w:start w:val="1"/>
      <w:numFmt w:val="decimal"/>
      <w:lvlText w:val="%7."/>
      <w:lvlJc w:val="left"/>
      <w:pPr>
        <w:tabs>
          <w:tab w:val="num" w:pos="5760"/>
        </w:tabs>
        <w:ind w:left="5760" w:hanging="360"/>
      </w:pPr>
      <w:rPr>
        <w:rFonts w:cs="Times New Roman"/>
      </w:rPr>
    </w:lvl>
    <w:lvl w:ilvl="7" w:tplc="04090003">
      <w:start w:val="1"/>
      <w:numFmt w:val="decimal"/>
      <w:lvlText w:val="%8."/>
      <w:lvlJc w:val="left"/>
      <w:pPr>
        <w:tabs>
          <w:tab w:val="num" w:pos="6480"/>
        </w:tabs>
        <w:ind w:left="6480" w:hanging="360"/>
      </w:pPr>
      <w:rPr>
        <w:rFonts w:cs="Times New Roman"/>
      </w:rPr>
    </w:lvl>
    <w:lvl w:ilvl="8" w:tplc="04090005">
      <w:start w:val="1"/>
      <w:numFmt w:val="decimal"/>
      <w:lvlText w:val="%9."/>
      <w:lvlJc w:val="left"/>
      <w:pPr>
        <w:tabs>
          <w:tab w:val="num" w:pos="7200"/>
        </w:tabs>
        <w:ind w:left="7200" w:hanging="360"/>
      </w:pPr>
      <w:rPr>
        <w:rFonts w:cs="Times New Roman"/>
      </w:rPr>
    </w:lvl>
  </w:abstractNum>
  <w:abstractNum w:abstractNumId="6">
    <w:nsid w:val="14EB30B3"/>
    <w:multiLevelType w:val="hybridMultilevel"/>
    <w:tmpl w:val="E5B84924"/>
    <w:lvl w:ilvl="0" w:tplc="3962DC7C">
      <w:numFmt w:val="bullet"/>
      <w:lvlText w:val="•"/>
      <w:lvlJc w:val="left"/>
      <w:pPr>
        <w:ind w:left="-2160" w:hanging="720"/>
      </w:pPr>
      <w:rPr>
        <w:rFonts w:ascii="Times New Roman" w:eastAsia="Times New Roman" w:hAnsi="Times New Roman" w:cs="Times New Roman" w:hint="default"/>
      </w:rPr>
    </w:lvl>
    <w:lvl w:ilvl="1" w:tplc="04090003">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7">
    <w:nsid w:val="17BD5CCC"/>
    <w:multiLevelType w:val="hybridMultilevel"/>
    <w:tmpl w:val="CAE40DBC"/>
    <w:lvl w:ilvl="0" w:tplc="3962DC7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8">
    <w:nsid w:val="180534B0"/>
    <w:multiLevelType w:val="hybridMultilevel"/>
    <w:tmpl w:val="6018E2C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18CE4AB6"/>
    <w:multiLevelType w:val="hybridMultilevel"/>
    <w:tmpl w:val="BBC8975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hint="default"/>
      </w:rPr>
    </w:lvl>
    <w:lvl w:ilvl="8" w:tplc="04090005">
      <w:start w:val="1"/>
      <w:numFmt w:val="bullet"/>
      <w:lvlText w:val=""/>
      <w:lvlJc w:val="left"/>
      <w:pPr>
        <w:ind w:left="7200" w:hanging="360"/>
      </w:pPr>
      <w:rPr>
        <w:rFonts w:ascii="Wingdings" w:hAnsi="Wingdings" w:hint="default"/>
      </w:rPr>
    </w:lvl>
  </w:abstractNum>
  <w:abstractNum w:abstractNumId="10">
    <w:nsid w:val="1C616E5B"/>
    <w:multiLevelType w:val="hybridMultilevel"/>
    <w:tmpl w:val="CCE068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nsid w:val="1EA37D3E"/>
    <w:multiLevelType w:val="hybridMultilevel"/>
    <w:tmpl w:val="6CA8FE82"/>
    <w:lvl w:ilvl="0" w:tplc="CA0CD60E">
      <w:numFmt w:val="bullet"/>
      <w:lvlText w:val="·"/>
      <w:lvlJc w:val="left"/>
      <w:pPr>
        <w:ind w:left="1080" w:hanging="360"/>
      </w:pPr>
      <w:rPr>
        <w:rFonts w:ascii="Calibri" w:eastAsia="Times New Roman" w:hAnsi="Calibri" w:cs="Times New Roman" w:hint="default"/>
        <w:sz w:val="22"/>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1EE200C8"/>
    <w:multiLevelType w:val="hybridMultilevel"/>
    <w:tmpl w:val="74C2BB7E"/>
    <w:lvl w:ilvl="0" w:tplc="3962DC7C">
      <w:numFmt w:val="bullet"/>
      <w:lvlText w:val="•"/>
      <w:lvlJc w:val="left"/>
      <w:pPr>
        <w:ind w:left="14760" w:hanging="720"/>
      </w:pPr>
      <w:rPr>
        <w:rFonts w:ascii="Times New Roman" w:eastAsia="Times New Roman" w:hAnsi="Times New Roman" w:cs="Times New Roman" w:hint="default"/>
      </w:rPr>
    </w:lvl>
    <w:lvl w:ilvl="1" w:tplc="04090003">
      <w:start w:val="1"/>
      <w:numFmt w:val="bullet"/>
      <w:lvlText w:val="o"/>
      <w:lvlJc w:val="left"/>
      <w:pPr>
        <w:ind w:left="15120" w:hanging="360"/>
      </w:pPr>
      <w:rPr>
        <w:rFonts w:ascii="Courier New" w:hAnsi="Courier New" w:cs="Courier New" w:hint="default"/>
      </w:rPr>
    </w:lvl>
    <w:lvl w:ilvl="2" w:tplc="04090005" w:tentative="1">
      <w:start w:val="1"/>
      <w:numFmt w:val="bullet"/>
      <w:lvlText w:val=""/>
      <w:lvlJc w:val="left"/>
      <w:pPr>
        <w:ind w:left="15840" w:hanging="360"/>
      </w:pPr>
      <w:rPr>
        <w:rFonts w:ascii="Wingdings" w:hAnsi="Wingdings" w:hint="default"/>
      </w:rPr>
    </w:lvl>
    <w:lvl w:ilvl="3" w:tplc="04090001" w:tentative="1">
      <w:start w:val="1"/>
      <w:numFmt w:val="bullet"/>
      <w:lvlText w:val=""/>
      <w:lvlJc w:val="left"/>
      <w:pPr>
        <w:ind w:left="16560" w:hanging="360"/>
      </w:pPr>
      <w:rPr>
        <w:rFonts w:ascii="Symbol" w:hAnsi="Symbol" w:hint="default"/>
      </w:rPr>
    </w:lvl>
    <w:lvl w:ilvl="4" w:tplc="04090003" w:tentative="1">
      <w:start w:val="1"/>
      <w:numFmt w:val="bullet"/>
      <w:lvlText w:val="o"/>
      <w:lvlJc w:val="left"/>
      <w:pPr>
        <w:ind w:left="17280" w:hanging="360"/>
      </w:pPr>
      <w:rPr>
        <w:rFonts w:ascii="Courier New" w:hAnsi="Courier New" w:cs="Courier New" w:hint="default"/>
      </w:rPr>
    </w:lvl>
    <w:lvl w:ilvl="5" w:tplc="04090005" w:tentative="1">
      <w:start w:val="1"/>
      <w:numFmt w:val="bullet"/>
      <w:lvlText w:val=""/>
      <w:lvlJc w:val="left"/>
      <w:pPr>
        <w:ind w:left="18000" w:hanging="360"/>
      </w:pPr>
      <w:rPr>
        <w:rFonts w:ascii="Wingdings" w:hAnsi="Wingdings" w:hint="default"/>
      </w:rPr>
    </w:lvl>
    <w:lvl w:ilvl="6" w:tplc="04090001" w:tentative="1">
      <w:start w:val="1"/>
      <w:numFmt w:val="bullet"/>
      <w:lvlText w:val=""/>
      <w:lvlJc w:val="left"/>
      <w:pPr>
        <w:ind w:left="18720" w:hanging="360"/>
      </w:pPr>
      <w:rPr>
        <w:rFonts w:ascii="Symbol" w:hAnsi="Symbol" w:hint="default"/>
      </w:rPr>
    </w:lvl>
    <w:lvl w:ilvl="7" w:tplc="04090003" w:tentative="1">
      <w:start w:val="1"/>
      <w:numFmt w:val="bullet"/>
      <w:lvlText w:val="o"/>
      <w:lvlJc w:val="left"/>
      <w:pPr>
        <w:ind w:left="19440" w:hanging="360"/>
      </w:pPr>
      <w:rPr>
        <w:rFonts w:ascii="Courier New" w:hAnsi="Courier New" w:cs="Courier New" w:hint="default"/>
      </w:rPr>
    </w:lvl>
    <w:lvl w:ilvl="8" w:tplc="04090005" w:tentative="1">
      <w:start w:val="1"/>
      <w:numFmt w:val="bullet"/>
      <w:lvlText w:val=""/>
      <w:lvlJc w:val="left"/>
      <w:pPr>
        <w:ind w:left="20160" w:hanging="360"/>
      </w:pPr>
      <w:rPr>
        <w:rFonts w:ascii="Wingdings" w:hAnsi="Wingdings" w:hint="default"/>
      </w:rPr>
    </w:lvl>
  </w:abstractNum>
  <w:abstractNum w:abstractNumId="13">
    <w:nsid w:val="2A65235F"/>
    <w:multiLevelType w:val="hybridMultilevel"/>
    <w:tmpl w:val="3FBEEACA"/>
    <w:lvl w:ilvl="0" w:tplc="3962DC7C">
      <w:numFmt w:val="bullet"/>
      <w:lvlText w:val="•"/>
      <w:lvlJc w:val="left"/>
      <w:pPr>
        <w:ind w:left="360" w:hanging="36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nsid w:val="2B173A3F"/>
    <w:multiLevelType w:val="hybridMultilevel"/>
    <w:tmpl w:val="2CC4D176"/>
    <w:lvl w:ilvl="0" w:tplc="3962DC7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2BFF22AB"/>
    <w:multiLevelType w:val="hybridMultilevel"/>
    <w:tmpl w:val="6BA627F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nsid w:val="32093D15"/>
    <w:multiLevelType w:val="hybridMultilevel"/>
    <w:tmpl w:val="54AA7A58"/>
    <w:lvl w:ilvl="0" w:tplc="F02ED15E">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nsid w:val="322D21FF"/>
    <w:multiLevelType w:val="hybridMultilevel"/>
    <w:tmpl w:val="EE9EBE4A"/>
    <w:lvl w:ilvl="0" w:tplc="3962DC7C">
      <w:numFmt w:val="bullet"/>
      <w:lvlText w:val="•"/>
      <w:lvlJc w:val="left"/>
      <w:pPr>
        <w:ind w:left="1080" w:hanging="72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3834653A"/>
    <w:multiLevelType w:val="hybridMultilevel"/>
    <w:tmpl w:val="CA2EDB9A"/>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9">
    <w:nsid w:val="384B5FEE"/>
    <w:multiLevelType w:val="hybridMultilevel"/>
    <w:tmpl w:val="0262C8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nsid w:val="4FD9795B"/>
    <w:multiLevelType w:val="hybridMultilevel"/>
    <w:tmpl w:val="752CB81E"/>
    <w:lvl w:ilvl="0" w:tplc="3962DC7C">
      <w:numFmt w:val="bullet"/>
      <w:lvlText w:val="•"/>
      <w:lvlJc w:val="left"/>
      <w:pPr>
        <w:ind w:left="-3960" w:hanging="720"/>
      </w:pPr>
      <w:rPr>
        <w:rFonts w:ascii="Times New Roman" w:eastAsia="Times New Roman" w:hAnsi="Times New Roman" w:cs="Times New Roman" w:hint="default"/>
      </w:rPr>
    </w:lvl>
    <w:lvl w:ilvl="1" w:tplc="3962DC7C">
      <w:numFmt w:val="bullet"/>
      <w:lvlText w:val="•"/>
      <w:lvlJc w:val="left"/>
      <w:pPr>
        <w:ind w:left="1440" w:hanging="360"/>
      </w:pPr>
      <w:rPr>
        <w:rFonts w:ascii="Times New Roman" w:eastAsia="Times New Roman" w:hAnsi="Times New Roman"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4FE5198"/>
    <w:multiLevelType w:val="hybridMultilevel"/>
    <w:tmpl w:val="F36E8C72"/>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hint="default"/>
      </w:rPr>
    </w:lvl>
    <w:lvl w:ilvl="8" w:tplc="04090005">
      <w:start w:val="1"/>
      <w:numFmt w:val="bullet"/>
      <w:lvlText w:val=""/>
      <w:lvlJc w:val="left"/>
      <w:pPr>
        <w:ind w:left="6840" w:hanging="360"/>
      </w:pPr>
      <w:rPr>
        <w:rFonts w:ascii="Wingdings" w:hAnsi="Wingdings" w:hint="default"/>
      </w:rPr>
    </w:lvl>
  </w:abstractNum>
  <w:abstractNum w:abstractNumId="22">
    <w:nsid w:val="5811485A"/>
    <w:multiLevelType w:val="hybridMultilevel"/>
    <w:tmpl w:val="DD00CA54"/>
    <w:lvl w:ilvl="0" w:tplc="0409000F">
      <w:start w:val="1"/>
      <w:numFmt w:val="decimal"/>
      <w:lvlText w:val="%1."/>
      <w:lvlJc w:val="left"/>
      <w:pPr>
        <w:tabs>
          <w:tab w:val="num" w:pos="1680"/>
        </w:tabs>
        <w:ind w:left="1680" w:hanging="360"/>
      </w:pPr>
    </w:lvl>
    <w:lvl w:ilvl="1" w:tplc="04090019" w:tentative="1">
      <w:start w:val="1"/>
      <w:numFmt w:val="lowerLetter"/>
      <w:lvlText w:val="%2."/>
      <w:lvlJc w:val="left"/>
      <w:pPr>
        <w:tabs>
          <w:tab w:val="num" w:pos="2400"/>
        </w:tabs>
        <w:ind w:left="2400" w:hanging="360"/>
      </w:pPr>
    </w:lvl>
    <w:lvl w:ilvl="2" w:tplc="0409001B" w:tentative="1">
      <w:start w:val="1"/>
      <w:numFmt w:val="lowerRoman"/>
      <w:lvlText w:val="%3."/>
      <w:lvlJc w:val="right"/>
      <w:pPr>
        <w:tabs>
          <w:tab w:val="num" w:pos="3120"/>
        </w:tabs>
        <w:ind w:left="3120" w:hanging="180"/>
      </w:pPr>
    </w:lvl>
    <w:lvl w:ilvl="3" w:tplc="0409000F" w:tentative="1">
      <w:start w:val="1"/>
      <w:numFmt w:val="decimal"/>
      <w:lvlText w:val="%4."/>
      <w:lvlJc w:val="left"/>
      <w:pPr>
        <w:tabs>
          <w:tab w:val="num" w:pos="3840"/>
        </w:tabs>
        <w:ind w:left="3840" w:hanging="360"/>
      </w:pPr>
    </w:lvl>
    <w:lvl w:ilvl="4" w:tplc="04090019" w:tentative="1">
      <w:start w:val="1"/>
      <w:numFmt w:val="lowerLetter"/>
      <w:lvlText w:val="%5."/>
      <w:lvlJc w:val="left"/>
      <w:pPr>
        <w:tabs>
          <w:tab w:val="num" w:pos="4560"/>
        </w:tabs>
        <w:ind w:left="4560" w:hanging="360"/>
      </w:pPr>
    </w:lvl>
    <w:lvl w:ilvl="5" w:tplc="0409001B" w:tentative="1">
      <w:start w:val="1"/>
      <w:numFmt w:val="lowerRoman"/>
      <w:lvlText w:val="%6."/>
      <w:lvlJc w:val="right"/>
      <w:pPr>
        <w:tabs>
          <w:tab w:val="num" w:pos="5280"/>
        </w:tabs>
        <w:ind w:left="5280" w:hanging="180"/>
      </w:pPr>
    </w:lvl>
    <w:lvl w:ilvl="6" w:tplc="0409000F" w:tentative="1">
      <w:start w:val="1"/>
      <w:numFmt w:val="decimal"/>
      <w:lvlText w:val="%7."/>
      <w:lvlJc w:val="left"/>
      <w:pPr>
        <w:tabs>
          <w:tab w:val="num" w:pos="6000"/>
        </w:tabs>
        <w:ind w:left="6000" w:hanging="360"/>
      </w:pPr>
    </w:lvl>
    <w:lvl w:ilvl="7" w:tplc="04090019" w:tentative="1">
      <w:start w:val="1"/>
      <w:numFmt w:val="lowerLetter"/>
      <w:lvlText w:val="%8."/>
      <w:lvlJc w:val="left"/>
      <w:pPr>
        <w:tabs>
          <w:tab w:val="num" w:pos="6720"/>
        </w:tabs>
        <w:ind w:left="6720" w:hanging="360"/>
      </w:pPr>
    </w:lvl>
    <w:lvl w:ilvl="8" w:tplc="0409001B" w:tentative="1">
      <w:start w:val="1"/>
      <w:numFmt w:val="lowerRoman"/>
      <w:lvlText w:val="%9."/>
      <w:lvlJc w:val="right"/>
      <w:pPr>
        <w:tabs>
          <w:tab w:val="num" w:pos="7440"/>
        </w:tabs>
        <w:ind w:left="7440" w:hanging="180"/>
      </w:pPr>
    </w:lvl>
  </w:abstractNum>
  <w:abstractNum w:abstractNumId="23">
    <w:nsid w:val="59CB12E3"/>
    <w:multiLevelType w:val="hybridMultilevel"/>
    <w:tmpl w:val="AA9247B8"/>
    <w:lvl w:ilvl="0" w:tplc="04090001">
      <w:start w:val="1"/>
      <w:numFmt w:val="bullet"/>
      <w:lvlText w:val=""/>
      <w:lvlJc w:val="left"/>
      <w:pPr>
        <w:ind w:left="1267" w:hanging="360"/>
      </w:pPr>
      <w:rPr>
        <w:rFonts w:ascii="Symbol" w:hAnsi="Symbol" w:hint="default"/>
      </w:rPr>
    </w:lvl>
    <w:lvl w:ilvl="1" w:tplc="04090003" w:tentative="1">
      <w:start w:val="1"/>
      <w:numFmt w:val="bullet"/>
      <w:lvlText w:val="o"/>
      <w:lvlJc w:val="left"/>
      <w:pPr>
        <w:ind w:left="1987" w:hanging="360"/>
      </w:pPr>
      <w:rPr>
        <w:rFonts w:ascii="Courier New" w:hAnsi="Courier New" w:cs="Courier New" w:hint="default"/>
      </w:rPr>
    </w:lvl>
    <w:lvl w:ilvl="2" w:tplc="04090005" w:tentative="1">
      <w:start w:val="1"/>
      <w:numFmt w:val="bullet"/>
      <w:lvlText w:val=""/>
      <w:lvlJc w:val="left"/>
      <w:pPr>
        <w:ind w:left="2707" w:hanging="360"/>
      </w:pPr>
      <w:rPr>
        <w:rFonts w:ascii="Wingdings" w:hAnsi="Wingdings" w:hint="default"/>
      </w:rPr>
    </w:lvl>
    <w:lvl w:ilvl="3" w:tplc="04090001" w:tentative="1">
      <w:start w:val="1"/>
      <w:numFmt w:val="bullet"/>
      <w:lvlText w:val=""/>
      <w:lvlJc w:val="left"/>
      <w:pPr>
        <w:ind w:left="3427" w:hanging="360"/>
      </w:pPr>
      <w:rPr>
        <w:rFonts w:ascii="Symbol" w:hAnsi="Symbol" w:hint="default"/>
      </w:rPr>
    </w:lvl>
    <w:lvl w:ilvl="4" w:tplc="04090003" w:tentative="1">
      <w:start w:val="1"/>
      <w:numFmt w:val="bullet"/>
      <w:lvlText w:val="o"/>
      <w:lvlJc w:val="left"/>
      <w:pPr>
        <w:ind w:left="4147" w:hanging="360"/>
      </w:pPr>
      <w:rPr>
        <w:rFonts w:ascii="Courier New" w:hAnsi="Courier New" w:cs="Courier New" w:hint="default"/>
      </w:rPr>
    </w:lvl>
    <w:lvl w:ilvl="5" w:tplc="04090005" w:tentative="1">
      <w:start w:val="1"/>
      <w:numFmt w:val="bullet"/>
      <w:lvlText w:val=""/>
      <w:lvlJc w:val="left"/>
      <w:pPr>
        <w:ind w:left="4867" w:hanging="360"/>
      </w:pPr>
      <w:rPr>
        <w:rFonts w:ascii="Wingdings" w:hAnsi="Wingdings" w:hint="default"/>
      </w:rPr>
    </w:lvl>
    <w:lvl w:ilvl="6" w:tplc="04090001" w:tentative="1">
      <w:start w:val="1"/>
      <w:numFmt w:val="bullet"/>
      <w:lvlText w:val=""/>
      <w:lvlJc w:val="left"/>
      <w:pPr>
        <w:ind w:left="5587" w:hanging="360"/>
      </w:pPr>
      <w:rPr>
        <w:rFonts w:ascii="Symbol" w:hAnsi="Symbol" w:hint="default"/>
      </w:rPr>
    </w:lvl>
    <w:lvl w:ilvl="7" w:tplc="04090003" w:tentative="1">
      <w:start w:val="1"/>
      <w:numFmt w:val="bullet"/>
      <w:lvlText w:val="o"/>
      <w:lvlJc w:val="left"/>
      <w:pPr>
        <w:ind w:left="6307" w:hanging="360"/>
      </w:pPr>
      <w:rPr>
        <w:rFonts w:ascii="Courier New" w:hAnsi="Courier New" w:cs="Courier New" w:hint="default"/>
      </w:rPr>
    </w:lvl>
    <w:lvl w:ilvl="8" w:tplc="04090005" w:tentative="1">
      <w:start w:val="1"/>
      <w:numFmt w:val="bullet"/>
      <w:lvlText w:val=""/>
      <w:lvlJc w:val="left"/>
      <w:pPr>
        <w:ind w:left="7027" w:hanging="360"/>
      </w:pPr>
      <w:rPr>
        <w:rFonts w:ascii="Wingdings" w:hAnsi="Wingdings" w:hint="default"/>
      </w:rPr>
    </w:lvl>
  </w:abstractNum>
  <w:abstractNum w:abstractNumId="24">
    <w:nsid w:val="5BF21301"/>
    <w:multiLevelType w:val="hybridMultilevel"/>
    <w:tmpl w:val="A628F9F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nsid w:val="628C53D6"/>
    <w:multiLevelType w:val="hybridMultilevel"/>
    <w:tmpl w:val="E22C4D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394798E"/>
    <w:multiLevelType w:val="hybridMultilevel"/>
    <w:tmpl w:val="0DB2EC76"/>
    <w:lvl w:ilvl="0" w:tplc="3962DC7C">
      <w:numFmt w:val="bullet"/>
      <w:lvlText w:val="•"/>
      <w:lvlJc w:val="left"/>
      <w:pPr>
        <w:ind w:left="1440" w:hanging="360"/>
      </w:pPr>
      <w:rPr>
        <w:rFonts w:ascii="Times New Roman" w:eastAsia="Times New Roman"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7">
    <w:nsid w:val="65FE0140"/>
    <w:multiLevelType w:val="hybridMultilevel"/>
    <w:tmpl w:val="62560A10"/>
    <w:lvl w:ilvl="0" w:tplc="2BC22CF2">
      <w:start w:val="1"/>
      <w:numFmt w:val="bullet"/>
      <w:lvlText w:val=""/>
      <w:lvlJc w:val="left"/>
      <w:pPr>
        <w:tabs>
          <w:tab w:val="num" w:pos="1320"/>
        </w:tabs>
        <w:ind w:left="1320" w:hanging="360"/>
      </w:pPr>
      <w:rPr>
        <w:rFonts w:ascii="Symbol" w:hAnsi="Symbol" w:hint="default"/>
        <w:sz w:val="21"/>
        <w:szCs w:val="21"/>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nsid w:val="66186BDC"/>
    <w:multiLevelType w:val="hybridMultilevel"/>
    <w:tmpl w:val="A754B1A8"/>
    <w:lvl w:ilvl="0" w:tplc="3962DC7C">
      <w:numFmt w:val="bullet"/>
      <w:lvlText w:val="•"/>
      <w:lvlJc w:val="left"/>
      <w:pPr>
        <w:ind w:left="360" w:hanging="360"/>
      </w:pPr>
      <w:rPr>
        <w:rFonts w:ascii="Times New Roman" w:eastAsia="Times New Roman" w:hAnsi="Times New Roman" w:cs="Times New Roman" w:hint="default"/>
      </w:rPr>
    </w:lvl>
    <w:lvl w:ilvl="1" w:tplc="3962DC7C">
      <w:numFmt w:val="bullet"/>
      <w:lvlText w:val="•"/>
      <w:lvlJc w:val="left"/>
      <w:pPr>
        <w:ind w:left="1080" w:hanging="360"/>
      </w:pPr>
      <w:rPr>
        <w:rFonts w:ascii="Times New Roman" w:eastAsia="Times New Roman" w:hAnsi="Times New Roman" w:cs="Times New Roman"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9">
    <w:nsid w:val="68FC64C8"/>
    <w:multiLevelType w:val="hybridMultilevel"/>
    <w:tmpl w:val="188630B6"/>
    <w:lvl w:ilvl="0" w:tplc="3962DC7C">
      <w:numFmt w:val="bullet"/>
      <w:lvlText w:val="•"/>
      <w:lvlJc w:val="left"/>
      <w:pPr>
        <w:ind w:left="720" w:hanging="720"/>
      </w:pPr>
      <w:rPr>
        <w:rFonts w:ascii="Times New Roman" w:eastAsia="Times New Roman" w:hAnsi="Times New Roman" w:cs="Times New Roman"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0">
    <w:nsid w:val="6A4537E7"/>
    <w:multiLevelType w:val="hybridMultilevel"/>
    <w:tmpl w:val="8A266B72"/>
    <w:lvl w:ilvl="0" w:tplc="F02ED15E">
      <w:start w:val="1"/>
      <w:numFmt w:val="bullet"/>
      <w:lvlText w:val=""/>
      <w:lvlJc w:val="left"/>
      <w:pPr>
        <w:tabs>
          <w:tab w:val="num" w:pos="720"/>
        </w:tabs>
        <w:ind w:left="720" w:hanging="360"/>
      </w:pPr>
      <w:rPr>
        <w:rFonts w:ascii="Symbol" w:hAnsi="Symbol" w:hint="default"/>
        <w:color w:val="auto"/>
        <w:sz w:val="20"/>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nsid w:val="6F5F6AFD"/>
    <w:multiLevelType w:val="hybridMultilevel"/>
    <w:tmpl w:val="94FE7C36"/>
    <w:lvl w:ilvl="0" w:tplc="3962DC7C">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nsid w:val="70AC3382"/>
    <w:multiLevelType w:val="hybridMultilevel"/>
    <w:tmpl w:val="8050210C"/>
    <w:lvl w:ilvl="0" w:tplc="3962DC7C">
      <w:numFmt w:val="bullet"/>
      <w:lvlText w:val="•"/>
      <w:lvlJc w:val="left"/>
      <w:pPr>
        <w:ind w:left="-3960" w:hanging="720"/>
      </w:pPr>
      <w:rPr>
        <w:rFonts w:ascii="Times New Roman" w:eastAsia="Times New Roman" w:hAnsi="Times New Roman"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720" w:hanging="360"/>
      </w:pPr>
      <w:rPr>
        <w:rFonts w:ascii="Wingdings" w:hAnsi="Wingdings" w:hint="default"/>
      </w:rPr>
    </w:lvl>
    <w:lvl w:ilvl="6" w:tplc="04090001">
      <w:start w:val="1"/>
      <w:numFmt w:val="bullet"/>
      <w:lvlText w:val=""/>
      <w:lvlJc w:val="left"/>
      <w:pPr>
        <w:ind w:left="0" w:hanging="360"/>
      </w:pPr>
      <w:rPr>
        <w:rFonts w:ascii="Symbol" w:hAnsi="Symbol" w:hint="default"/>
      </w:rPr>
    </w:lvl>
    <w:lvl w:ilvl="7" w:tplc="3962DC7C">
      <w:numFmt w:val="bullet"/>
      <w:lvlText w:val="•"/>
      <w:lvlJc w:val="left"/>
      <w:pPr>
        <w:ind w:left="720" w:hanging="360"/>
      </w:pPr>
      <w:rPr>
        <w:rFonts w:ascii="Times New Roman" w:eastAsia="Times New Roman" w:hAnsi="Times New Roman" w:cs="Times New Roman" w:hint="default"/>
      </w:rPr>
    </w:lvl>
    <w:lvl w:ilvl="8" w:tplc="04090005" w:tentative="1">
      <w:start w:val="1"/>
      <w:numFmt w:val="bullet"/>
      <w:lvlText w:val=""/>
      <w:lvlJc w:val="left"/>
      <w:pPr>
        <w:ind w:left="1440" w:hanging="360"/>
      </w:pPr>
      <w:rPr>
        <w:rFonts w:ascii="Wingdings" w:hAnsi="Wingdings" w:hint="default"/>
      </w:rPr>
    </w:lvl>
  </w:abstractNum>
  <w:abstractNum w:abstractNumId="33">
    <w:nsid w:val="72EC0E8B"/>
    <w:multiLevelType w:val="hybridMultilevel"/>
    <w:tmpl w:val="2710E46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nsid w:val="73611F68"/>
    <w:multiLevelType w:val="hybridMultilevel"/>
    <w:tmpl w:val="194494A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nsid w:val="7D75353D"/>
    <w:multiLevelType w:val="hybridMultilevel"/>
    <w:tmpl w:val="12A48974"/>
    <w:lvl w:ilvl="0" w:tplc="3962DC7C">
      <w:numFmt w:val="bullet"/>
      <w:lvlText w:val="•"/>
      <w:lvlJc w:val="left"/>
      <w:pPr>
        <w:ind w:left="-3960" w:hanging="720"/>
      </w:pPr>
      <w:rPr>
        <w:rFonts w:ascii="Times New Roman" w:eastAsia="Times New Roman" w:hAnsi="Times New Roman" w:cs="Times New Roman" w:hint="default"/>
      </w:rPr>
    </w:lvl>
    <w:lvl w:ilvl="1" w:tplc="04090003">
      <w:start w:val="1"/>
      <w:numFmt w:val="bullet"/>
      <w:lvlText w:val="o"/>
      <w:lvlJc w:val="left"/>
      <w:pPr>
        <w:ind w:left="-360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2160" w:hanging="360"/>
      </w:pPr>
      <w:rPr>
        <w:rFonts w:ascii="Symbol" w:hAnsi="Symbol" w:hint="default"/>
      </w:rPr>
    </w:lvl>
    <w:lvl w:ilvl="4" w:tplc="04090003">
      <w:start w:val="1"/>
      <w:numFmt w:val="bullet"/>
      <w:lvlText w:val="o"/>
      <w:lvlJc w:val="left"/>
      <w:pPr>
        <w:ind w:left="-1440" w:hanging="360"/>
      </w:pPr>
      <w:rPr>
        <w:rFonts w:ascii="Courier New" w:hAnsi="Courier New" w:cs="Courier New" w:hint="default"/>
      </w:rPr>
    </w:lvl>
    <w:lvl w:ilvl="5" w:tplc="04090005">
      <w:start w:val="1"/>
      <w:numFmt w:val="bullet"/>
      <w:lvlText w:val=""/>
      <w:lvlJc w:val="left"/>
      <w:pPr>
        <w:ind w:left="-720" w:hanging="360"/>
      </w:pPr>
      <w:rPr>
        <w:rFonts w:ascii="Wingdings" w:hAnsi="Wingdings" w:hint="default"/>
      </w:rPr>
    </w:lvl>
    <w:lvl w:ilvl="6" w:tplc="3962DC7C">
      <w:numFmt w:val="bullet"/>
      <w:lvlText w:val="•"/>
      <w:lvlJc w:val="left"/>
      <w:pPr>
        <w:ind w:left="0" w:hanging="360"/>
      </w:pPr>
      <w:rPr>
        <w:rFonts w:ascii="Times New Roman" w:eastAsia="Times New Roman" w:hAnsi="Times New Roman" w:cs="Times New Roman" w:hint="default"/>
      </w:rPr>
    </w:lvl>
    <w:lvl w:ilvl="7" w:tplc="3962DC7C">
      <w:numFmt w:val="bullet"/>
      <w:lvlText w:val="•"/>
      <w:lvlJc w:val="left"/>
      <w:pPr>
        <w:ind w:left="720" w:hanging="360"/>
      </w:pPr>
      <w:rPr>
        <w:rFonts w:ascii="Times New Roman" w:eastAsia="Times New Roman" w:hAnsi="Times New Roman" w:cs="Times New Roman" w:hint="default"/>
      </w:rPr>
    </w:lvl>
    <w:lvl w:ilvl="8" w:tplc="04090005" w:tentative="1">
      <w:start w:val="1"/>
      <w:numFmt w:val="bullet"/>
      <w:lvlText w:val=""/>
      <w:lvlJc w:val="left"/>
      <w:pPr>
        <w:ind w:left="1440" w:hanging="360"/>
      </w:pPr>
      <w:rPr>
        <w:rFonts w:ascii="Wingdings" w:hAnsi="Wingdings" w:hint="default"/>
      </w:rPr>
    </w:lvl>
  </w:abstractNum>
  <w:num w:numId="1">
    <w:abstractNumId w:val="16"/>
  </w:num>
  <w:num w:numId="2">
    <w:abstractNumId w:val="27"/>
  </w:num>
  <w:num w:numId="3">
    <w:abstractNumId w:val="22"/>
  </w:num>
  <w:num w:numId="4">
    <w:abstractNumId w:val="18"/>
  </w:num>
  <w:num w:numId="5">
    <w:abstractNumId w:val="24"/>
  </w:num>
  <w:num w:numId="6">
    <w:abstractNumId w:val="30"/>
  </w:num>
  <w:num w:numId="7">
    <w:abstractNumId w:val="3"/>
  </w:num>
  <w:num w:numId="8">
    <w:abstractNumId w:val="14"/>
  </w:num>
  <w:num w:numId="9">
    <w:abstractNumId w:val="1"/>
  </w:num>
  <w:num w:numId="10">
    <w:abstractNumId w:val="12"/>
  </w:num>
  <w:num w:numId="11">
    <w:abstractNumId w:val="4"/>
  </w:num>
  <w:num w:numId="12">
    <w:abstractNumId w:val="35"/>
  </w:num>
  <w:num w:numId="13">
    <w:abstractNumId w:val="29"/>
  </w:num>
  <w:num w:numId="14">
    <w:abstractNumId w:val="19"/>
  </w:num>
  <w:num w:numId="15">
    <w:abstractNumId w:val="23"/>
  </w:num>
  <w:num w:numId="16">
    <w:abstractNumId w:val="34"/>
  </w:num>
  <w:num w:numId="17">
    <w:abstractNumId w:val="33"/>
  </w:num>
  <w:num w:numId="18">
    <w:abstractNumId w:val="25"/>
  </w:num>
  <w:num w:numId="19">
    <w:abstractNumId w:val="17"/>
  </w:num>
  <w:num w:numId="20">
    <w:abstractNumId w:val="15"/>
  </w:num>
  <w:num w:numId="21">
    <w:abstractNumId w:val="11"/>
  </w:num>
  <w:num w:numId="22">
    <w:abstractNumId w:val="26"/>
  </w:num>
  <w:num w:numId="23">
    <w:abstractNumId w:val="2"/>
  </w:num>
  <w:num w:numId="24">
    <w:abstractNumId w:val="13"/>
  </w:num>
  <w:num w:numId="25">
    <w:abstractNumId w:val="31"/>
  </w:num>
  <w:num w:numId="26">
    <w:abstractNumId w:val="6"/>
  </w:num>
  <w:num w:numId="27">
    <w:abstractNumId w:val="20"/>
  </w:num>
  <w:num w:numId="28">
    <w:abstractNumId w:val="10"/>
  </w:num>
  <w:num w:numId="29">
    <w:abstractNumId w:val="8"/>
  </w:num>
  <w:num w:numId="30">
    <w:abstractNumId w:val="28"/>
  </w:num>
  <w:num w:numId="31">
    <w:abstractNumId w:val="32"/>
  </w:num>
  <w:num w:numId="32">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29"/>
  </w:num>
  <w:num w:numId="34">
    <w:abstractNumId w:val="5"/>
  </w:num>
  <w:num w:numId="35">
    <w:abstractNumId w:val="0"/>
  </w:num>
  <w:num w:numId="36">
    <w:abstractNumId w:val="7"/>
  </w:num>
  <w:num w:numId="37">
    <w:abstractNumId w:val="9"/>
  </w:num>
  <w:num w:numId="38">
    <w:abstractNumId w:val="21"/>
  </w:num>
  <w:num w:numId="39">
    <w:abstractNumId w:val="9"/>
  </w:num>
  <w:num w:numId="4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4"/>
  <w:drawingGridVerticalSpacing w:val="39"/>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C089D"/>
    <w:rsid w:val="00010AFD"/>
    <w:rsid w:val="00032805"/>
    <w:rsid w:val="0003431C"/>
    <w:rsid w:val="00034A20"/>
    <w:rsid w:val="00041F7E"/>
    <w:rsid w:val="00043891"/>
    <w:rsid w:val="000522F8"/>
    <w:rsid w:val="00056BB5"/>
    <w:rsid w:val="00057AD2"/>
    <w:rsid w:val="00057F95"/>
    <w:rsid w:val="0006304C"/>
    <w:rsid w:val="00073ED2"/>
    <w:rsid w:val="00082877"/>
    <w:rsid w:val="0008574A"/>
    <w:rsid w:val="00097B8D"/>
    <w:rsid w:val="000A38A0"/>
    <w:rsid w:val="000A56FE"/>
    <w:rsid w:val="000C128B"/>
    <w:rsid w:val="000C18E4"/>
    <w:rsid w:val="000D0361"/>
    <w:rsid w:val="000D486A"/>
    <w:rsid w:val="000D5694"/>
    <w:rsid w:val="000F3327"/>
    <w:rsid w:val="000F434C"/>
    <w:rsid w:val="000F57FC"/>
    <w:rsid w:val="000F6F82"/>
    <w:rsid w:val="000F7C96"/>
    <w:rsid w:val="00100ED1"/>
    <w:rsid w:val="00104933"/>
    <w:rsid w:val="0010521E"/>
    <w:rsid w:val="001205ED"/>
    <w:rsid w:val="00120D89"/>
    <w:rsid w:val="00122124"/>
    <w:rsid w:val="00122AB3"/>
    <w:rsid w:val="00130EB3"/>
    <w:rsid w:val="00152509"/>
    <w:rsid w:val="00160ECE"/>
    <w:rsid w:val="00165D8C"/>
    <w:rsid w:val="00166C6A"/>
    <w:rsid w:val="00172F9B"/>
    <w:rsid w:val="001777E9"/>
    <w:rsid w:val="00183922"/>
    <w:rsid w:val="00186174"/>
    <w:rsid w:val="0019051B"/>
    <w:rsid w:val="00195D48"/>
    <w:rsid w:val="001A1636"/>
    <w:rsid w:val="001A5ABA"/>
    <w:rsid w:val="001B6DD0"/>
    <w:rsid w:val="001C141C"/>
    <w:rsid w:val="001D0214"/>
    <w:rsid w:val="001E0ECF"/>
    <w:rsid w:val="001F7898"/>
    <w:rsid w:val="00200B59"/>
    <w:rsid w:val="00201D10"/>
    <w:rsid w:val="00206720"/>
    <w:rsid w:val="002157A6"/>
    <w:rsid w:val="002221DA"/>
    <w:rsid w:val="0022612B"/>
    <w:rsid w:val="00231250"/>
    <w:rsid w:val="00232F52"/>
    <w:rsid w:val="00245FF1"/>
    <w:rsid w:val="00246DC4"/>
    <w:rsid w:val="002666A1"/>
    <w:rsid w:val="002872A3"/>
    <w:rsid w:val="00290624"/>
    <w:rsid w:val="00294F0A"/>
    <w:rsid w:val="002A438E"/>
    <w:rsid w:val="002A5294"/>
    <w:rsid w:val="002A6A13"/>
    <w:rsid w:val="002B4170"/>
    <w:rsid w:val="002B5AB8"/>
    <w:rsid w:val="002E3144"/>
    <w:rsid w:val="002E37A1"/>
    <w:rsid w:val="002F3EBD"/>
    <w:rsid w:val="00340E4D"/>
    <w:rsid w:val="0035210A"/>
    <w:rsid w:val="00352817"/>
    <w:rsid w:val="00353ED9"/>
    <w:rsid w:val="003616E5"/>
    <w:rsid w:val="00364C21"/>
    <w:rsid w:val="00366D97"/>
    <w:rsid w:val="00372AC3"/>
    <w:rsid w:val="003839C9"/>
    <w:rsid w:val="0039194A"/>
    <w:rsid w:val="003A6D91"/>
    <w:rsid w:val="003B2381"/>
    <w:rsid w:val="003B61A6"/>
    <w:rsid w:val="003D1401"/>
    <w:rsid w:val="003E2A61"/>
    <w:rsid w:val="003F6490"/>
    <w:rsid w:val="00403F96"/>
    <w:rsid w:val="00406E02"/>
    <w:rsid w:val="00414B67"/>
    <w:rsid w:val="00416772"/>
    <w:rsid w:val="00421F76"/>
    <w:rsid w:val="004247FD"/>
    <w:rsid w:val="004316D5"/>
    <w:rsid w:val="00442AE9"/>
    <w:rsid w:val="004444BA"/>
    <w:rsid w:val="00465984"/>
    <w:rsid w:val="00470590"/>
    <w:rsid w:val="004739E3"/>
    <w:rsid w:val="004856FD"/>
    <w:rsid w:val="0048622F"/>
    <w:rsid w:val="004979E5"/>
    <w:rsid w:val="004A33F9"/>
    <w:rsid w:val="004A6B06"/>
    <w:rsid w:val="004B5747"/>
    <w:rsid w:val="004B5DF3"/>
    <w:rsid w:val="004B6626"/>
    <w:rsid w:val="004C12D0"/>
    <w:rsid w:val="004D0095"/>
    <w:rsid w:val="0050062B"/>
    <w:rsid w:val="0050164F"/>
    <w:rsid w:val="00502E40"/>
    <w:rsid w:val="00506023"/>
    <w:rsid w:val="005160BE"/>
    <w:rsid w:val="005205E3"/>
    <w:rsid w:val="005272C5"/>
    <w:rsid w:val="00533F0C"/>
    <w:rsid w:val="005419BD"/>
    <w:rsid w:val="00547697"/>
    <w:rsid w:val="005510CB"/>
    <w:rsid w:val="005527D8"/>
    <w:rsid w:val="00553560"/>
    <w:rsid w:val="005608AE"/>
    <w:rsid w:val="005620FC"/>
    <w:rsid w:val="005755AE"/>
    <w:rsid w:val="005822ED"/>
    <w:rsid w:val="00583E0F"/>
    <w:rsid w:val="00584E82"/>
    <w:rsid w:val="00590189"/>
    <w:rsid w:val="0059101E"/>
    <w:rsid w:val="00592906"/>
    <w:rsid w:val="00594CA3"/>
    <w:rsid w:val="00595750"/>
    <w:rsid w:val="0059743C"/>
    <w:rsid w:val="005A6585"/>
    <w:rsid w:val="005B46B2"/>
    <w:rsid w:val="005B6AA1"/>
    <w:rsid w:val="005C773F"/>
    <w:rsid w:val="005E3C11"/>
    <w:rsid w:val="005E4C77"/>
    <w:rsid w:val="005F1F1C"/>
    <w:rsid w:val="005F62E9"/>
    <w:rsid w:val="005F667F"/>
    <w:rsid w:val="006043AB"/>
    <w:rsid w:val="00612076"/>
    <w:rsid w:val="00627157"/>
    <w:rsid w:val="00631FCA"/>
    <w:rsid w:val="006374CE"/>
    <w:rsid w:val="00637F8E"/>
    <w:rsid w:val="00642FA9"/>
    <w:rsid w:val="006470B0"/>
    <w:rsid w:val="00652AE0"/>
    <w:rsid w:val="00657BB9"/>
    <w:rsid w:val="00657D5F"/>
    <w:rsid w:val="00660746"/>
    <w:rsid w:val="006761F6"/>
    <w:rsid w:val="00684460"/>
    <w:rsid w:val="006849C8"/>
    <w:rsid w:val="006A06D3"/>
    <w:rsid w:val="006A538E"/>
    <w:rsid w:val="006C6FB3"/>
    <w:rsid w:val="006C7F90"/>
    <w:rsid w:val="006D088C"/>
    <w:rsid w:val="006D4801"/>
    <w:rsid w:val="006D734B"/>
    <w:rsid w:val="006D7546"/>
    <w:rsid w:val="006E27C9"/>
    <w:rsid w:val="006E295F"/>
    <w:rsid w:val="006E528B"/>
    <w:rsid w:val="006E69DC"/>
    <w:rsid w:val="006E6BC2"/>
    <w:rsid w:val="006E7217"/>
    <w:rsid w:val="006F697A"/>
    <w:rsid w:val="00705D0C"/>
    <w:rsid w:val="00711F36"/>
    <w:rsid w:val="00716438"/>
    <w:rsid w:val="00720A6E"/>
    <w:rsid w:val="00724797"/>
    <w:rsid w:val="00733ABC"/>
    <w:rsid w:val="007365C0"/>
    <w:rsid w:val="00747213"/>
    <w:rsid w:val="00754559"/>
    <w:rsid w:val="00760705"/>
    <w:rsid w:val="00760DE2"/>
    <w:rsid w:val="007675DF"/>
    <w:rsid w:val="0076794C"/>
    <w:rsid w:val="00767C42"/>
    <w:rsid w:val="0077312D"/>
    <w:rsid w:val="007751C5"/>
    <w:rsid w:val="00780600"/>
    <w:rsid w:val="00781BAA"/>
    <w:rsid w:val="00785400"/>
    <w:rsid w:val="0079146C"/>
    <w:rsid w:val="007A3C91"/>
    <w:rsid w:val="007A49F9"/>
    <w:rsid w:val="007A4DAB"/>
    <w:rsid w:val="007A688E"/>
    <w:rsid w:val="007C1A81"/>
    <w:rsid w:val="007D1F57"/>
    <w:rsid w:val="007D58CB"/>
    <w:rsid w:val="007D729A"/>
    <w:rsid w:val="007E1A76"/>
    <w:rsid w:val="007E5DD4"/>
    <w:rsid w:val="007F1FBD"/>
    <w:rsid w:val="007F3A2D"/>
    <w:rsid w:val="007F4CBE"/>
    <w:rsid w:val="00802AF7"/>
    <w:rsid w:val="00806647"/>
    <w:rsid w:val="008142B6"/>
    <w:rsid w:val="00823199"/>
    <w:rsid w:val="00830EF0"/>
    <w:rsid w:val="0085159E"/>
    <w:rsid w:val="008564DD"/>
    <w:rsid w:val="00865ECF"/>
    <w:rsid w:val="00870B69"/>
    <w:rsid w:val="00883BD9"/>
    <w:rsid w:val="00893A08"/>
    <w:rsid w:val="008960BC"/>
    <w:rsid w:val="008A506A"/>
    <w:rsid w:val="008F7BDA"/>
    <w:rsid w:val="009028F0"/>
    <w:rsid w:val="0090660B"/>
    <w:rsid w:val="00914E49"/>
    <w:rsid w:val="00922097"/>
    <w:rsid w:val="00933423"/>
    <w:rsid w:val="00945EDC"/>
    <w:rsid w:val="00954170"/>
    <w:rsid w:val="00954845"/>
    <w:rsid w:val="009571BD"/>
    <w:rsid w:val="009729E2"/>
    <w:rsid w:val="00975FDC"/>
    <w:rsid w:val="009864EE"/>
    <w:rsid w:val="009902EC"/>
    <w:rsid w:val="009A5F4C"/>
    <w:rsid w:val="009B13CB"/>
    <w:rsid w:val="009B6016"/>
    <w:rsid w:val="009C1F21"/>
    <w:rsid w:val="009C7754"/>
    <w:rsid w:val="009D148F"/>
    <w:rsid w:val="009E067B"/>
    <w:rsid w:val="009F226C"/>
    <w:rsid w:val="00A13E63"/>
    <w:rsid w:val="00A17661"/>
    <w:rsid w:val="00A3145B"/>
    <w:rsid w:val="00A34074"/>
    <w:rsid w:val="00A35828"/>
    <w:rsid w:val="00A37FAC"/>
    <w:rsid w:val="00A62349"/>
    <w:rsid w:val="00A743F7"/>
    <w:rsid w:val="00A8743A"/>
    <w:rsid w:val="00AA08DE"/>
    <w:rsid w:val="00AB415A"/>
    <w:rsid w:val="00AB542B"/>
    <w:rsid w:val="00AC5A07"/>
    <w:rsid w:val="00B00682"/>
    <w:rsid w:val="00B1062F"/>
    <w:rsid w:val="00B13E60"/>
    <w:rsid w:val="00B16920"/>
    <w:rsid w:val="00B17738"/>
    <w:rsid w:val="00B23200"/>
    <w:rsid w:val="00B709B9"/>
    <w:rsid w:val="00B71D24"/>
    <w:rsid w:val="00B730E8"/>
    <w:rsid w:val="00B91C9F"/>
    <w:rsid w:val="00B92F70"/>
    <w:rsid w:val="00BA36EC"/>
    <w:rsid w:val="00BC1FCE"/>
    <w:rsid w:val="00BC4377"/>
    <w:rsid w:val="00BE2051"/>
    <w:rsid w:val="00BE2ACC"/>
    <w:rsid w:val="00BE3603"/>
    <w:rsid w:val="00BF0941"/>
    <w:rsid w:val="00BF3E4B"/>
    <w:rsid w:val="00BF7CF2"/>
    <w:rsid w:val="00C123A1"/>
    <w:rsid w:val="00C27AB4"/>
    <w:rsid w:val="00C27D9D"/>
    <w:rsid w:val="00C420CC"/>
    <w:rsid w:val="00C43095"/>
    <w:rsid w:val="00C43689"/>
    <w:rsid w:val="00C51447"/>
    <w:rsid w:val="00C53B5A"/>
    <w:rsid w:val="00C62BDE"/>
    <w:rsid w:val="00C63C75"/>
    <w:rsid w:val="00C642FF"/>
    <w:rsid w:val="00C64E90"/>
    <w:rsid w:val="00C6580F"/>
    <w:rsid w:val="00C67499"/>
    <w:rsid w:val="00C6759C"/>
    <w:rsid w:val="00C807B6"/>
    <w:rsid w:val="00C94A3A"/>
    <w:rsid w:val="00CA74F4"/>
    <w:rsid w:val="00CC089D"/>
    <w:rsid w:val="00CE33D4"/>
    <w:rsid w:val="00CE3957"/>
    <w:rsid w:val="00CF1834"/>
    <w:rsid w:val="00CF62FC"/>
    <w:rsid w:val="00D01828"/>
    <w:rsid w:val="00D245DF"/>
    <w:rsid w:val="00D248C5"/>
    <w:rsid w:val="00D332E5"/>
    <w:rsid w:val="00D367EF"/>
    <w:rsid w:val="00D45F73"/>
    <w:rsid w:val="00D52533"/>
    <w:rsid w:val="00D63469"/>
    <w:rsid w:val="00D74244"/>
    <w:rsid w:val="00D86D50"/>
    <w:rsid w:val="00D92A56"/>
    <w:rsid w:val="00D94BF2"/>
    <w:rsid w:val="00DA258B"/>
    <w:rsid w:val="00DB249F"/>
    <w:rsid w:val="00DC1DB8"/>
    <w:rsid w:val="00DC64C6"/>
    <w:rsid w:val="00DC736A"/>
    <w:rsid w:val="00DD706F"/>
    <w:rsid w:val="00DE6359"/>
    <w:rsid w:val="00DE6937"/>
    <w:rsid w:val="00DE7496"/>
    <w:rsid w:val="00DE77F6"/>
    <w:rsid w:val="00DF3DEC"/>
    <w:rsid w:val="00DF46EE"/>
    <w:rsid w:val="00E068FB"/>
    <w:rsid w:val="00E10B21"/>
    <w:rsid w:val="00E25968"/>
    <w:rsid w:val="00E26C8B"/>
    <w:rsid w:val="00E27178"/>
    <w:rsid w:val="00E3159E"/>
    <w:rsid w:val="00E53F75"/>
    <w:rsid w:val="00E556FA"/>
    <w:rsid w:val="00E57349"/>
    <w:rsid w:val="00E64CF9"/>
    <w:rsid w:val="00E66EB4"/>
    <w:rsid w:val="00E71AA6"/>
    <w:rsid w:val="00E74DB8"/>
    <w:rsid w:val="00E77EF2"/>
    <w:rsid w:val="00E822FE"/>
    <w:rsid w:val="00E92741"/>
    <w:rsid w:val="00E92E1F"/>
    <w:rsid w:val="00EB2EA1"/>
    <w:rsid w:val="00ED4532"/>
    <w:rsid w:val="00ED4E89"/>
    <w:rsid w:val="00ED6321"/>
    <w:rsid w:val="00EE503A"/>
    <w:rsid w:val="00EE661C"/>
    <w:rsid w:val="00EF4D0F"/>
    <w:rsid w:val="00F01643"/>
    <w:rsid w:val="00F01C36"/>
    <w:rsid w:val="00F0394F"/>
    <w:rsid w:val="00F1167F"/>
    <w:rsid w:val="00F20E7A"/>
    <w:rsid w:val="00F22B67"/>
    <w:rsid w:val="00F2748E"/>
    <w:rsid w:val="00F4449D"/>
    <w:rsid w:val="00F57124"/>
    <w:rsid w:val="00F61EC3"/>
    <w:rsid w:val="00F64EC3"/>
    <w:rsid w:val="00F72D18"/>
    <w:rsid w:val="00F7328C"/>
    <w:rsid w:val="00F7724F"/>
    <w:rsid w:val="00F810DB"/>
    <w:rsid w:val="00F851A6"/>
    <w:rsid w:val="00F90F92"/>
    <w:rsid w:val="00FB6604"/>
    <w:rsid w:val="00FB6A6B"/>
    <w:rsid w:val="00FC36B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3AB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A5F4C"/>
    <w:rPr>
      <w:sz w:val="20"/>
    </w:rPr>
  </w:style>
  <w:style w:type="character" w:styleId="FootnoteReference">
    <w:name w:val="footnote reference"/>
    <w:basedOn w:val="DefaultParagraphFont"/>
    <w:semiHidden/>
    <w:rsid w:val="009A5F4C"/>
    <w:rPr>
      <w:vertAlign w:val="superscript"/>
    </w:rPr>
  </w:style>
  <w:style w:type="table" w:styleId="TableGrid">
    <w:name w:val="Table Grid"/>
    <w:basedOn w:val="TableNormal"/>
    <w:rsid w:val="0024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37F8E"/>
    <w:pPr>
      <w:tabs>
        <w:tab w:val="center" w:pos="4320"/>
        <w:tab w:val="right" w:pos="8640"/>
      </w:tabs>
    </w:pPr>
  </w:style>
  <w:style w:type="character" w:styleId="PageNumber">
    <w:name w:val="page number"/>
    <w:basedOn w:val="DefaultParagraphFont"/>
    <w:rsid w:val="00637F8E"/>
  </w:style>
  <w:style w:type="paragraph" w:styleId="BodyText">
    <w:name w:val="Body Text"/>
    <w:basedOn w:val="Normal"/>
    <w:rsid w:val="007365C0"/>
    <w:pPr>
      <w:jc w:val="both"/>
    </w:pPr>
    <w:rPr>
      <w:sz w:val="22"/>
      <w:szCs w:val="22"/>
    </w:rPr>
  </w:style>
  <w:style w:type="character" w:customStyle="1" w:styleId="BodyTextIn">
    <w:name w:val="Body Text In"/>
    <w:semiHidden/>
    <w:rsid w:val="007365C0"/>
    <w:rPr>
      <w:rFonts w:ascii="Arial" w:hAnsi="Arial"/>
      <w:sz w:val="24"/>
    </w:rPr>
  </w:style>
  <w:style w:type="paragraph" w:styleId="BalloonText">
    <w:name w:val="Balloon Text"/>
    <w:basedOn w:val="Normal"/>
    <w:semiHidden/>
    <w:rsid w:val="00F4449D"/>
    <w:rPr>
      <w:rFonts w:ascii="Tahoma" w:hAnsi="Tahoma" w:cs="Tahoma"/>
      <w:sz w:val="16"/>
      <w:szCs w:val="16"/>
    </w:rPr>
  </w:style>
  <w:style w:type="paragraph" w:styleId="Header">
    <w:name w:val="header"/>
    <w:basedOn w:val="Normal"/>
    <w:link w:val="HeaderChar"/>
    <w:uiPriority w:val="99"/>
    <w:rsid w:val="00E64CF9"/>
    <w:pPr>
      <w:tabs>
        <w:tab w:val="center" w:pos="4320"/>
        <w:tab w:val="right" w:pos="8640"/>
      </w:tabs>
    </w:pPr>
  </w:style>
  <w:style w:type="paragraph" w:styleId="ListParagraph">
    <w:name w:val="List Paragraph"/>
    <w:basedOn w:val="Normal"/>
    <w:uiPriority w:val="34"/>
    <w:qFormat/>
    <w:rsid w:val="00A743F7"/>
    <w:pPr>
      <w:ind w:left="720"/>
      <w:contextualSpacing/>
    </w:pPr>
  </w:style>
  <w:style w:type="character" w:styleId="CommentReference">
    <w:name w:val="annotation reference"/>
    <w:basedOn w:val="DefaultParagraphFont"/>
    <w:rsid w:val="00C807B6"/>
    <w:rPr>
      <w:sz w:val="16"/>
      <w:szCs w:val="16"/>
    </w:rPr>
  </w:style>
  <w:style w:type="paragraph" w:styleId="CommentText">
    <w:name w:val="annotation text"/>
    <w:basedOn w:val="Normal"/>
    <w:link w:val="CommentTextChar"/>
    <w:rsid w:val="00C807B6"/>
    <w:rPr>
      <w:sz w:val="20"/>
    </w:rPr>
  </w:style>
  <w:style w:type="character" w:customStyle="1" w:styleId="CommentTextChar">
    <w:name w:val="Comment Text Char"/>
    <w:basedOn w:val="DefaultParagraphFont"/>
    <w:link w:val="CommentText"/>
    <w:rsid w:val="00C807B6"/>
  </w:style>
  <w:style w:type="paragraph" w:styleId="CommentSubject">
    <w:name w:val="annotation subject"/>
    <w:basedOn w:val="CommentText"/>
    <w:next w:val="CommentText"/>
    <w:link w:val="CommentSubjectChar"/>
    <w:rsid w:val="00C807B6"/>
    <w:rPr>
      <w:b/>
      <w:bCs/>
    </w:rPr>
  </w:style>
  <w:style w:type="character" w:customStyle="1" w:styleId="CommentSubjectChar">
    <w:name w:val="Comment Subject Char"/>
    <w:basedOn w:val="CommentTextChar"/>
    <w:link w:val="CommentSubject"/>
    <w:rsid w:val="00C807B6"/>
    <w:rPr>
      <w:b/>
      <w:bCs/>
    </w:rPr>
  </w:style>
  <w:style w:type="character" w:customStyle="1" w:styleId="HeaderChar">
    <w:name w:val="Header Char"/>
    <w:basedOn w:val="DefaultParagraphFont"/>
    <w:link w:val="Header"/>
    <w:uiPriority w:val="99"/>
    <w:locked/>
    <w:rsid w:val="00BF0941"/>
    <w:rPr>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733ABC"/>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semiHidden/>
    <w:rsid w:val="009A5F4C"/>
    <w:rPr>
      <w:sz w:val="20"/>
    </w:rPr>
  </w:style>
  <w:style w:type="character" w:styleId="FootnoteReference">
    <w:name w:val="footnote reference"/>
    <w:basedOn w:val="DefaultParagraphFont"/>
    <w:semiHidden/>
    <w:rsid w:val="009A5F4C"/>
    <w:rPr>
      <w:vertAlign w:val="superscript"/>
    </w:rPr>
  </w:style>
  <w:style w:type="table" w:styleId="TableGrid">
    <w:name w:val="Table Grid"/>
    <w:basedOn w:val="TableNormal"/>
    <w:rsid w:val="00246D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637F8E"/>
    <w:pPr>
      <w:tabs>
        <w:tab w:val="center" w:pos="4320"/>
        <w:tab w:val="right" w:pos="8640"/>
      </w:tabs>
    </w:pPr>
  </w:style>
  <w:style w:type="character" w:styleId="PageNumber">
    <w:name w:val="page number"/>
    <w:basedOn w:val="DefaultParagraphFont"/>
    <w:rsid w:val="00637F8E"/>
  </w:style>
  <w:style w:type="paragraph" w:styleId="BodyText">
    <w:name w:val="Body Text"/>
    <w:basedOn w:val="Normal"/>
    <w:rsid w:val="007365C0"/>
    <w:pPr>
      <w:jc w:val="both"/>
    </w:pPr>
    <w:rPr>
      <w:sz w:val="22"/>
      <w:szCs w:val="22"/>
    </w:rPr>
  </w:style>
  <w:style w:type="character" w:customStyle="1" w:styleId="BodyTextIn">
    <w:name w:val="Body Text In"/>
    <w:semiHidden/>
    <w:rsid w:val="007365C0"/>
    <w:rPr>
      <w:rFonts w:ascii="Arial" w:hAnsi="Arial"/>
      <w:sz w:val="24"/>
    </w:rPr>
  </w:style>
  <w:style w:type="paragraph" w:styleId="BalloonText">
    <w:name w:val="Balloon Text"/>
    <w:basedOn w:val="Normal"/>
    <w:semiHidden/>
    <w:rsid w:val="00F4449D"/>
    <w:rPr>
      <w:rFonts w:ascii="Tahoma" w:hAnsi="Tahoma" w:cs="Tahoma"/>
      <w:sz w:val="16"/>
      <w:szCs w:val="16"/>
    </w:rPr>
  </w:style>
  <w:style w:type="paragraph" w:styleId="Header">
    <w:name w:val="header"/>
    <w:basedOn w:val="Normal"/>
    <w:link w:val="HeaderChar"/>
    <w:uiPriority w:val="99"/>
    <w:rsid w:val="00E64CF9"/>
    <w:pPr>
      <w:tabs>
        <w:tab w:val="center" w:pos="4320"/>
        <w:tab w:val="right" w:pos="8640"/>
      </w:tabs>
    </w:pPr>
  </w:style>
  <w:style w:type="paragraph" w:styleId="ListParagraph">
    <w:name w:val="List Paragraph"/>
    <w:basedOn w:val="Normal"/>
    <w:uiPriority w:val="34"/>
    <w:qFormat/>
    <w:rsid w:val="00A743F7"/>
    <w:pPr>
      <w:ind w:left="720"/>
      <w:contextualSpacing/>
    </w:pPr>
  </w:style>
  <w:style w:type="character" w:styleId="CommentReference">
    <w:name w:val="annotation reference"/>
    <w:basedOn w:val="DefaultParagraphFont"/>
    <w:rsid w:val="00C807B6"/>
    <w:rPr>
      <w:sz w:val="16"/>
      <w:szCs w:val="16"/>
    </w:rPr>
  </w:style>
  <w:style w:type="paragraph" w:styleId="CommentText">
    <w:name w:val="annotation text"/>
    <w:basedOn w:val="Normal"/>
    <w:link w:val="CommentTextChar"/>
    <w:rsid w:val="00C807B6"/>
    <w:rPr>
      <w:sz w:val="20"/>
    </w:rPr>
  </w:style>
  <w:style w:type="character" w:customStyle="1" w:styleId="CommentTextChar">
    <w:name w:val="Comment Text Char"/>
    <w:basedOn w:val="DefaultParagraphFont"/>
    <w:link w:val="CommentText"/>
    <w:rsid w:val="00C807B6"/>
  </w:style>
  <w:style w:type="paragraph" w:styleId="CommentSubject">
    <w:name w:val="annotation subject"/>
    <w:basedOn w:val="CommentText"/>
    <w:next w:val="CommentText"/>
    <w:link w:val="CommentSubjectChar"/>
    <w:rsid w:val="00C807B6"/>
    <w:rPr>
      <w:b/>
      <w:bCs/>
    </w:rPr>
  </w:style>
  <w:style w:type="character" w:customStyle="1" w:styleId="CommentSubjectChar">
    <w:name w:val="Comment Subject Char"/>
    <w:basedOn w:val="CommentTextChar"/>
    <w:link w:val="CommentSubject"/>
    <w:rsid w:val="00C807B6"/>
    <w:rPr>
      <w:b/>
      <w:bCs/>
    </w:rPr>
  </w:style>
  <w:style w:type="character" w:customStyle="1" w:styleId="HeaderChar">
    <w:name w:val="Header Char"/>
    <w:basedOn w:val="DefaultParagraphFont"/>
    <w:link w:val="Header"/>
    <w:uiPriority w:val="99"/>
    <w:locked/>
    <w:rsid w:val="00BF0941"/>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0539101">
      <w:bodyDiv w:val="1"/>
      <w:marLeft w:val="0"/>
      <w:marRight w:val="0"/>
      <w:marTop w:val="0"/>
      <w:marBottom w:val="0"/>
      <w:divBdr>
        <w:top w:val="none" w:sz="0" w:space="0" w:color="auto"/>
        <w:left w:val="none" w:sz="0" w:space="0" w:color="auto"/>
        <w:bottom w:val="none" w:sz="0" w:space="0" w:color="auto"/>
        <w:right w:val="none" w:sz="0" w:space="0" w:color="auto"/>
      </w:divBdr>
    </w:div>
    <w:div w:id="650520423">
      <w:bodyDiv w:val="1"/>
      <w:marLeft w:val="0"/>
      <w:marRight w:val="0"/>
      <w:marTop w:val="0"/>
      <w:marBottom w:val="0"/>
      <w:divBdr>
        <w:top w:val="none" w:sz="0" w:space="0" w:color="auto"/>
        <w:left w:val="none" w:sz="0" w:space="0" w:color="auto"/>
        <w:bottom w:val="none" w:sz="0" w:space="0" w:color="auto"/>
        <w:right w:val="none" w:sz="0" w:space="0" w:color="auto"/>
      </w:divBdr>
    </w:div>
    <w:div w:id="1431849246">
      <w:bodyDiv w:val="1"/>
      <w:marLeft w:val="0"/>
      <w:marRight w:val="0"/>
      <w:marTop w:val="0"/>
      <w:marBottom w:val="0"/>
      <w:divBdr>
        <w:top w:val="none" w:sz="0" w:space="0" w:color="auto"/>
        <w:left w:val="none" w:sz="0" w:space="0" w:color="auto"/>
        <w:bottom w:val="none" w:sz="0" w:space="0" w:color="auto"/>
        <w:right w:val="none" w:sz="0" w:space="0" w:color="auto"/>
      </w:divBdr>
    </w:div>
    <w:div w:id="1718820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92F98DA-1DA7-426C-828C-44FC961511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1208</Words>
  <Characters>6888</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300 Line Expansion Project</vt:lpstr>
    </vt:vector>
  </TitlesOfParts>
  <Company>El Paso Corporation</Company>
  <LinksUpToDate>false</LinksUpToDate>
  <CharactersWithSpaces>8080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300 Line Expansion Project</dc:title>
  <dc:creator>klc1229</dc:creator>
  <cp:lastModifiedBy>David, Owen</cp:lastModifiedBy>
  <cp:revision>2</cp:revision>
  <cp:lastPrinted>2008-12-03T16:16:00Z</cp:lastPrinted>
  <dcterms:created xsi:type="dcterms:W3CDTF">2015-07-08T17:03:00Z</dcterms:created>
  <dcterms:modified xsi:type="dcterms:W3CDTF">2015-07-08T17:03:00Z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gFAACRwgU2+mnxk6y8LhSXrVOWMWrrn376LCpXCXWulX2GVogHeK2ezHmribaBC6AZ0cxwYODsDBgzwb
ADXXWna8lm3icwgGTSRRKnLaKV7kx3FRdUJw179ME4481yXugzQsX9mhYHOqSJsO1ZSEGDVEECOX
eBUWTAMdMkWNq7bwGNhezokO+ypPvuyxCDO0dG4AHsPgDtBarTFWKFQE7aZSIh9sR0UhoCNpOAc/
WBUmukfqZnZqMAVh1</vt:lpwstr>
  </property>
  <property fmtid="{D5CDD505-2E9C-101B-9397-08002B2CF9AE}" pid="3" name="MAIL_MSG_ID2">
    <vt:lpwstr>+Tyuc/kJXypt/AqF4cpSLfCapRHkBsiV0WthMgY18xnMCj1S6RwHKreGVtS
koPsZ1DB+f1hYvCv/ZZsc9BI9yeeAgq3A31llg==</vt:lpwstr>
  </property>
  <property fmtid="{D5CDD505-2E9C-101B-9397-08002B2CF9AE}" pid="4" name="RESPONSE_SENDER_NAME">
    <vt:lpwstr>sAAAE9kkUq3pEoIXYLi+TgzQvTrA2GY18haCrLotU77NPyQ=</vt:lpwstr>
  </property>
  <property fmtid="{D5CDD505-2E9C-101B-9397-08002B2CF9AE}" pid="5" name="EMAIL_OWNER_ADDRESS">
    <vt:lpwstr>ABAAgoCixPcRe8nFP0V9epV0GqCmG1vR2oCmyWCPzbVRQ9dAKgF2tJlrqjusOGyZVGst</vt:lpwstr>
  </property>
</Properties>
</file>